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572B" w:rsidRPr="000B0266" w:rsidRDefault="00AE572B" w:rsidP="00AE572B">
      <w:pPr>
        <w:autoSpaceDE w:val="0"/>
        <w:autoSpaceDN w:val="0"/>
        <w:adjustRightInd w:val="0"/>
        <w:jc w:val="center"/>
        <w:rPr>
          <w:rFonts w:ascii="Calibri" w:hAnsi="Calibri" w:cs="Calibri"/>
          <w:b/>
          <w:bCs/>
          <w:color w:val="000000"/>
          <w:sz w:val="40"/>
          <w:szCs w:val="40"/>
        </w:rPr>
      </w:pPr>
      <w:r w:rsidRPr="000B0266">
        <w:rPr>
          <w:rFonts w:ascii="Calibri" w:hAnsi="Calibri" w:cs="Calibri"/>
          <w:b/>
          <w:bCs/>
          <w:color w:val="000000"/>
          <w:sz w:val="40"/>
          <w:szCs w:val="40"/>
        </w:rPr>
        <w:t>NEWS RELEASE</w:t>
      </w:r>
    </w:p>
    <w:p w:rsidR="00AE572B" w:rsidRDefault="00AE572B" w:rsidP="00AE572B">
      <w:pPr>
        <w:autoSpaceDE w:val="0"/>
        <w:autoSpaceDN w:val="0"/>
        <w:adjustRightInd w:val="0"/>
        <w:rPr>
          <w:rFonts w:ascii="Calibri" w:hAnsi="Calibri" w:cs="Calibri"/>
          <w:b/>
          <w:bCs/>
          <w:color w:val="000000"/>
          <w:sz w:val="28"/>
          <w:szCs w:val="28"/>
        </w:rPr>
      </w:pPr>
    </w:p>
    <w:p w:rsidR="00B16A3E" w:rsidRDefault="00B16A3E" w:rsidP="00B16A3E">
      <w:pPr>
        <w:autoSpaceDE w:val="0"/>
        <w:autoSpaceDN w:val="0"/>
        <w:adjustRightInd w:val="0"/>
        <w:jc w:val="center"/>
        <w:rPr>
          <w:rFonts w:ascii="Calibri" w:hAnsi="Calibri" w:cs="Arial"/>
          <w:b/>
          <w:bCs/>
          <w:sz w:val="32"/>
          <w:szCs w:val="32"/>
        </w:rPr>
      </w:pPr>
      <w:r w:rsidRPr="00ED2F1C">
        <w:rPr>
          <w:rFonts w:ascii="Calibri" w:hAnsi="Calibri" w:cs="Arial"/>
          <w:b/>
          <w:bCs/>
          <w:sz w:val="32"/>
          <w:szCs w:val="32"/>
        </w:rPr>
        <w:t xml:space="preserve">Biosensors Receives CE Mark </w:t>
      </w:r>
      <w:r>
        <w:rPr>
          <w:rFonts w:ascii="Calibri" w:hAnsi="Calibri" w:cs="Arial"/>
          <w:b/>
          <w:bCs/>
          <w:sz w:val="32"/>
          <w:szCs w:val="32"/>
        </w:rPr>
        <w:t xml:space="preserve">Approval </w:t>
      </w:r>
      <w:r w:rsidRPr="00ED2F1C">
        <w:rPr>
          <w:rFonts w:ascii="Calibri" w:hAnsi="Calibri" w:cs="Arial"/>
          <w:b/>
          <w:bCs/>
          <w:sz w:val="32"/>
          <w:szCs w:val="32"/>
        </w:rPr>
        <w:t>for BioMatrix Flex</w:t>
      </w:r>
      <w:r w:rsidRPr="00ED2F1C">
        <w:rPr>
          <w:rFonts w:ascii="Calibri" w:hAnsi="Calibri" w:cs="Arial"/>
          <w:b/>
          <w:bCs/>
          <w:sz w:val="32"/>
          <w:szCs w:val="32"/>
          <w:vertAlign w:val="superscript"/>
        </w:rPr>
        <w:t>™</w:t>
      </w:r>
    </w:p>
    <w:p w:rsidR="00B16A3E" w:rsidRPr="00ED2F1C" w:rsidRDefault="00B16A3E" w:rsidP="00B16A3E">
      <w:pPr>
        <w:autoSpaceDE w:val="0"/>
        <w:autoSpaceDN w:val="0"/>
        <w:adjustRightInd w:val="0"/>
        <w:jc w:val="center"/>
        <w:rPr>
          <w:rFonts w:ascii="Calibri" w:hAnsi="Calibri" w:cs="Arial"/>
          <w:b/>
          <w:bCs/>
          <w:strike/>
          <w:sz w:val="32"/>
          <w:szCs w:val="32"/>
        </w:rPr>
      </w:pPr>
    </w:p>
    <w:p w:rsidR="00B16A3E" w:rsidRPr="00964BA8" w:rsidRDefault="00B16A3E" w:rsidP="00B16A3E">
      <w:pPr>
        <w:pStyle w:val="Default"/>
      </w:pPr>
      <w:r>
        <w:rPr>
          <w:b/>
          <w:bCs/>
        </w:rPr>
        <w:t>22</w:t>
      </w:r>
      <w:r w:rsidRPr="00964BA8">
        <w:rPr>
          <w:b/>
          <w:bCs/>
        </w:rPr>
        <w:t xml:space="preserve"> January 2010 – </w:t>
      </w:r>
      <w:r w:rsidRPr="00964BA8">
        <w:t>Biosensors Internat</w:t>
      </w:r>
      <w:r>
        <w:t xml:space="preserve">ional Group, Ltd. </w:t>
      </w:r>
      <w:r w:rsidRPr="00964BA8">
        <w:t xml:space="preserve">has received CE Mark approval for a new version of its BioMatrix™ drug-eluting stent system, the BioMatrix Flex™. </w:t>
      </w:r>
    </w:p>
    <w:p w:rsidR="00B16A3E" w:rsidRDefault="00B16A3E" w:rsidP="00B16A3E">
      <w:pPr>
        <w:pStyle w:val="Default"/>
      </w:pPr>
    </w:p>
    <w:p w:rsidR="00B16A3E" w:rsidRPr="00964BA8" w:rsidRDefault="00B16A3E" w:rsidP="00B16A3E">
      <w:pPr>
        <w:pStyle w:val="Default"/>
      </w:pPr>
      <w:r w:rsidRPr="00964BA8">
        <w:t xml:space="preserve">BioMatrix™ was originally launched in </w:t>
      </w:r>
      <w:smartTag w:uri="urn:schemas-microsoft-com:office:smarttags" w:element="place">
        <w:r w:rsidRPr="00964BA8">
          <w:t>Europe</w:t>
        </w:r>
      </w:smartTag>
      <w:r w:rsidRPr="00964BA8">
        <w:t xml:space="preserve"> in April 2008, where its unique combination of a Biosensors-developed abluminal biodegradable polymer and proprietary limus drug, Biolimus A9™, rapidly proved successful. The BioMatrix Flex also incorporates the Company’s abluminal biodegradable polymer and Biolimus A9™. In just two years, the Company has received CE Mark approvals for the first version of its BioMatrix drug-eluting stent (January 2008), its smaller-diameter (2.25 mm) </w:t>
      </w:r>
      <w:r>
        <w:t>version (March 2009) and now</w:t>
      </w:r>
      <w:r w:rsidRPr="00964BA8">
        <w:t xml:space="preserve"> t</w:t>
      </w:r>
      <w:r>
        <w:t>he BioMatrix Flex</w:t>
      </w:r>
      <w:r w:rsidRPr="00964BA8">
        <w:t xml:space="preserve">. </w:t>
      </w:r>
    </w:p>
    <w:p w:rsidR="00B16A3E" w:rsidRDefault="00B16A3E" w:rsidP="00B16A3E">
      <w:pPr>
        <w:pStyle w:val="Default"/>
      </w:pPr>
    </w:p>
    <w:p w:rsidR="00B16A3E" w:rsidRPr="00964BA8" w:rsidRDefault="00B16A3E" w:rsidP="00B16A3E">
      <w:pPr>
        <w:pStyle w:val="Default"/>
      </w:pPr>
      <w:r w:rsidRPr="00964BA8">
        <w:t xml:space="preserve">Mike Kleine, President and CEO, commented, “We are extremely pleased to receive approval of BioMatrix Flex. This approval once again demonstrates our commitment to innovation as well as our ability to accelerate the pace of change. We are excited to offer yet another product to improve patients’ lives.” </w:t>
      </w:r>
    </w:p>
    <w:p w:rsidR="00B16A3E" w:rsidRDefault="00B16A3E" w:rsidP="00B16A3E">
      <w:pPr>
        <w:pStyle w:val="Default"/>
      </w:pPr>
    </w:p>
    <w:p w:rsidR="00B16A3E" w:rsidRPr="00964BA8" w:rsidRDefault="00B16A3E" w:rsidP="00B16A3E">
      <w:pPr>
        <w:pStyle w:val="Default"/>
      </w:pPr>
      <w:r w:rsidRPr="00964BA8">
        <w:t xml:space="preserve">The BioMatrix Flex™ stent will be made available for physicians’ use over the coming months. </w:t>
      </w:r>
    </w:p>
    <w:p w:rsidR="00B16A3E" w:rsidRDefault="00B16A3E" w:rsidP="00B16A3E">
      <w:pPr>
        <w:pStyle w:val="Default"/>
        <w:rPr>
          <w:b/>
          <w:bCs/>
        </w:rPr>
      </w:pPr>
    </w:p>
    <w:p w:rsidR="00B16A3E" w:rsidRDefault="00B16A3E" w:rsidP="00B16A3E">
      <w:pPr>
        <w:pStyle w:val="Default"/>
        <w:rPr>
          <w:b/>
          <w:bCs/>
        </w:rPr>
      </w:pPr>
    </w:p>
    <w:p w:rsidR="00B16A3E" w:rsidRDefault="00B16A3E" w:rsidP="00B16A3E">
      <w:pPr>
        <w:spacing w:after="120"/>
        <w:jc w:val="center"/>
        <w:rPr>
          <w:rFonts w:ascii="Arial" w:hAnsi="Arial" w:cs="Arial"/>
          <w:sz w:val="22"/>
          <w:szCs w:val="22"/>
        </w:rPr>
      </w:pPr>
      <w:r>
        <w:rPr>
          <w:rFonts w:ascii="Arial" w:hAnsi="Arial" w:cs="Arial"/>
          <w:b/>
          <w:bCs/>
          <w:sz w:val="22"/>
          <w:szCs w:val="22"/>
        </w:rPr>
        <w:t>-Ends-</w:t>
      </w:r>
    </w:p>
    <w:p w:rsidR="00B16A3E" w:rsidRDefault="00B16A3E" w:rsidP="00B16A3E">
      <w:pPr>
        <w:jc w:val="both"/>
        <w:rPr>
          <w:rStyle w:val="bodytext1"/>
          <w:rFonts w:ascii="Calibri" w:hAnsi="Calibri"/>
        </w:rPr>
      </w:pPr>
    </w:p>
    <w:p w:rsidR="00B16A3E" w:rsidRPr="001977EE" w:rsidRDefault="00B16A3E" w:rsidP="00B16A3E">
      <w:pPr>
        <w:jc w:val="both"/>
        <w:rPr>
          <w:rStyle w:val="bodytext1"/>
          <w:rFonts w:ascii="Calibri" w:hAnsi="Calibri"/>
        </w:rPr>
      </w:pPr>
      <w:r>
        <w:rPr>
          <w:rStyle w:val="bodytext1"/>
          <w:rFonts w:ascii="Calibri" w:hAnsi="Calibri"/>
        </w:rPr>
        <w:t>For further information</w:t>
      </w:r>
      <w:r w:rsidRPr="001977EE">
        <w:rPr>
          <w:rStyle w:val="bodytext1"/>
          <w:rFonts w:ascii="Calibri" w:hAnsi="Calibri"/>
        </w:rPr>
        <w:t>, please contact:</w:t>
      </w:r>
    </w:p>
    <w:p w:rsidR="00B16A3E" w:rsidRPr="001977EE" w:rsidRDefault="00B16A3E" w:rsidP="00B16A3E">
      <w:pPr>
        <w:jc w:val="both"/>
        <w:rPr>
          <w:rStyle w:val="bodytext1"/>
          <w:rFonts w:ascii="Calibri" w:hAnsi="Calibri"/>
        </w:rPr>
      </w:pPr>
    </w:p>
    <w:p w:rsidR="00B16A3E" w:rsidRPr="001977EE" w:rsidRDefault="00B16A3E" w:rsidP="00B16A3E">
      <w:pPr>
        <w:jc w:val="both"/>
        <w:outlineLvl w:val="0"/>
        <w:rPr>
          <w:rStyle w:val="bodytext1"/>
          <w:rFonts w:ascii="Calibri" w:hAnsi="Calibri"/>
        </w:rPr>
      </w:pPr>
      <w:r w:rsidRPr="001977EE">
        <w:rPr>
          <w:rStyle w:val="bodytext1"/>
          <w:rFonts w:ascii="Calibri" w:hAnsi="Calibri"/>
        </w:rPr>
        <w:t xml:space="preserve">Susanne Meis: </w:t>
      </w:r>
      <w:hyperlink r:id="rId7" w:history="1">
        <w:r w:rsidRPr="001977EE">
          <w:rPr>
            <w:rStyle w:val="Hyperlink"/>
            <w:rFonts w:ascii="Calibri" w:hAnsi="Calibri" w:cs="Tahoma"/>
          </w:rPr>
          <w:t>s.meis@biosensors.com</w:t>
        </w:r>
      </w:hyperlink>
      <w:r w:rsidRPr="001977EE">
        <w:rPr>
          <w:rFonts w:ascii="Calibri" w:hAnsi="Calibri" w:cs="Tahoma"/>
          <w:color w:val="444444"/>
        </w:rPr>
        <w:t xml:space="preserve"> </w:t>
      </w:r>
      <w:r w:rsidRPr="001977EE">
        <w:rPr>
          <w:rStyle w:val="bodytext1"/>
          <w:rFonts w:ascii="Calibri" w:hAnsi="Calibri"/>
        </w:rPr>
        <w:t>+49 171 8918919</w:t>
      </w:r>
    </w:p>
    <w:p w:rsidR="00B16A3E" w:rsidRPr="001977EE" w:rsidRDefault="00B16A3E" w:rsidP="00B16A3E">
      <w:pPr>
        <w:jc w:val="both"/>
        <w:rPr>
          <w:rStyle w:val="bodytext1"/>
          <w:rFonts w:ascii="Calibri" w:hAnsi="Calibri"/>
        </w:rPr>
      </w:pPr>
    </w:p>
    <w:p w:rsidR="00B16A3E" w:rsidRPr="001977EE" w:rsidRDefault="00B16A3E" w:rsidP="00B16A3E">
      <w:pPr>
        <w:jc w:val="both"/>
        <w:outlineLvl w:val="0"/>
        <w:rPr>
          <w:rStyle w:val="bodytext1"/>
          <w:rFonts w:ascii="Calibri" w:hAnsi="Calibri"/>
        </w:rPr>
      </w:pPr>
      <w:r w:rsidRPr="001977EE">
        <w:rPr>
          <w:rStyle w:val="bodytext1"/>
          <w:rFonts w:ascii="Calibri" w:hAnsi="Calibri"/>
        </w:rPr>
        <w:t xml:space="preserve">Richard Kenyon: </w:t>
      </w:r>
      <w:hyperlink r:id="rId8" w:history="1">
        <w:r w:rsidRPr="001977EE">
          <w:rPr>
            <w:rStyle w:val="Hyperlink"/>
            <w:rFonts w:ascii="Calibri" w:hAnsi="Calibri" w:cs="Arial"/>
          </w:rPr>
          <w:t>richard@rkpr.co.uk</w:t>
        </w:r>
      </w:hyperlink>
      <w:r w:rsidRPr="001977EE">
        <w:rPr>
          <w:rStyle w:val="bodytext1"/>
          <w:rFonts w:ascii="Calibri" w:hAnsi="Calibri"/>
        </w:rPr>
        <w:t xml:space="preserve">  +44 7831 569940</w:t>
      </w:r>
    </w:p>
    <w:p w:rsidR="00B16A3E" w:rsidRPr="001977EE" w:rsidRDefault="00B16A3E" w:rsidP="00B16A3E">
      <w:pPr>
        <w:pStyle w:val="Default"/>
        <w:rPr>
          <w:b/>
          <w:bCs/>
        </w:rPr>
      </w:pPr>
      <w:r w:rsidRPr="001977EE">
        <w:rPr>
          <w:b/>
          <w:bCs/>
        </w:rPr>
        <w:t xml:space="preserve"> </w:t>
      </w:r>
    </w:p>
    <w:p w:rsidR="00B16A3E" w:rsidRDefault="00B16A3E" w:rsidP="00B16A3E">
      <w:pPr>
        <w:pStyle w:val="Default"/>
        <w:rPr>
          <w:b/>
          <w:bCs/>
        </w:rPr>
      </w:pPr>
    </w:p>
    <w:p w:rsidR="00B16A3E" w:rsidRDefault="00B16A3E" w:rsidP="00B16A3E">
      <w:pPr>
        <w:pStyle w:val="Default"/>
        <w:rPr>
          <w:b/>
          <w:bCs/>
        </w:rPr>
      </w:pPr>
    </w:p>
    <w:p w:rsidR="00B16A3E" w:rsidRDefault="00B16A3E" w:rsidP="00B16A3E">
      <w:pPr>
        <w:pStyle w:val="Default"/>
        <w:rPr>
          <w:b/>
          <w:bCs/>
        </w:rPr>
      </w:pPr>
    </w:p>
    <w:p w:rsidR="00B16A3E" w:rsidRDefault="00B16A3E" w:rsidP="00B16A3E">
      <w:pPr>
        <w:pStyle w:val="Default"/>
        <w:rPr>
          <w:b/>
          <w:bCs/>
        </w:rPr>
      </w:pPr>
    </w:p>
    <w:p w:rsidR="00B16A3E" w:rsidRDefault="00B16A3E" w:rsidP="00B16A3E">
      <w:pPr>
        <w:pStyle w:val="Default"/>
        <w:rPr>
          <w:b/>
          <w:bCs/>
        </w:rPr>
      </w:pPr>
    </w:p>
    <w:p w:rsidR="00B16A3E" w:rsidRDefault="00B16A3E" w:rsidP="00B16A3E">
      <w:pPr>
        <w:pStyle w:val="Default"/>
        <w:rPr>
          <w:b/>
          <w:bCs/>
        </w:rPr>
      </w:pPr>
    </w:p>
    <w:p w:rsidR="00B16A3E" w:rsidRDefault="00B16A3E" w:rsidP="00B16A3E">
      <w:pPr>
        <w:pStyle w:val="Default"/>
        <w:rPr>
          <w:b/>
          <w:bCs/>
        </w:rPr>
      </w:pPr>
    </w:p>
    <w:p w:rsidR="00B16A3E" w:rsidRDefault="00B16A3E" w:rsidP="00B16A3E">
      <w:pPr>
        <w:pStyle w:val="Default"/>
        <w:rPr>
          <w:b/>
          <w:bCs/>
        </w:rPr>
      </w:pPr>
    </w:p>
    <w:p w:rsidR="00B16A3E" w:rsidRPr="00964BA8" w:rsidRDefault="00B16A3E" w:rsidP="00B16A3E">
      <w:pPr>
        <w:pStyle w:val="Default"/>
      </w:pPr>
      <w:r w:rsidRPr="00964BA8">
        <w:rPr>
          <w:b/>
          <w:bCs/>
        </w:rPr>
        <w:t xml:space="preserve">About Biosensors International Group, Ltd </w:t>
      </w:r>
    </w:p>
    <w:p w:rsidR="00B16A3E" w:rsidRPr="00964BA8" w:rsidRDefault="00B16A3E" w:rsidP="00B16A3E">
      <w:pPr>
        <w:pStyle w:val="Default"/>
      </w:pPr>
      <w:r w:rsidRPr="00964BA8">
        <w:t xml:space="preserve">Biosensors develops, manufactures and markets innovative medical devices used in interventional cardiology and critical care procedures. Biosensors is well-positioned to emerge as a leader in drug-eluting stents and has developed a pipeline of next-generation products that </w:t>
      </w:r>
      <w:r w:rsidRPr="00964BA8">
        <w:lastRenderedPageBreak/>
        <w:t xml:space="preserve">are set to gain market share from traditional therapies such as conventional drug-eluting stents, bare-metal stents and open-heart surgery. It has two separate drug-eluting stent programs, BioMatrix™ and BioFreedom™, a completely polymer-free drug-eluting stent. </w:t>
      </w:r>
    </w:p>
    <w:p w:rsidR="00B16A3E" w:rsidRDefault="00B16A3E" w:rsidP="00B16A3E">
      <w:pPr>
        <w:pStyle w:val="Default"/>
        <w:rPr>
          <w:b/>
          <w:bCs/>
        </w:rPr>
      </w:pPr>
    </w:p>
    <w:p w:rsidR="00B16A3E" w:rsidRPr="00964BA8" w:rsidRDefault="00B16A3E" w:rsidP="00B16A3E">
      <w:pPr>
        <w:pStyle w:val="Default"/>
      </w:pPr>
      <w:r w:rsidRPr="00964BA8">
        <w:rPr>
          <w:b/>
          <w:bCs/>
        </w:rPr>
        <w:t xml:space="preserve">About </w:t>
      </w:r>
      <w:r>
        <w:rPr>
          <w:b/>
          <w:bCs/>
        </w:rPr>
        <w:t xml:space="preserve">the </w:t>
      </w:r>
      <w:r w:rsidRPr="00964BA8">
        <w:rPr>
          <w:b/>
          <w:bCs/>
        </w:rPr>
        <w:t xml:space="preserve">BioMatrix™ Stent Family </w:t>
      </w:r>
    </w:p>
    <w:p w:rsidR="00B16A3E" w:rsidRPr="00964BA8" w:rsidRDefault="00B16A3E" w:rsidP="00B16A3E">
      <w:pPr>
        <w:pStyle w:val="Default"/>
      </w:pPr>
      <w:r w:rsidRPr="00964BA8">
        <w:t xml:space="preserve">BioMatrix™ offers the unique combination of an innovative anti-restenotic drug, Biolimus A9™, a biodegradable poly-lactic acid polymer (PLA), and an advanced, highly flexible stent designed for enhanced deliverability. </w:t>
      </w:r>
    </w:p>
    <w:p w:rsidR="00B16A3E" w:rsidRDefault="00B16A3E" w:rsidP="00B16A3E">
      <w:pPr>
        <w:autoSpaceDE w:val="0"/>
        <w:autoSpaceDN w:val="0"/>
        <w:adjustRightInd w:val="0"/>
        <w:rPr>
          <w:rFonts w:ascii="Calibri" w:hAnsi="Calibri"/>
        </w:rPr>
      </w:pPr>
    </w:p>
    <w:p w:rsidR="00B16A3E" w:rsidRPr="00964BA8" w:rsidRDefault="00B16A3E" w:rsidP="00B16A3E">
      <w:pPr>
        <w:autoSpaceDE w:val="0"/>
        <w:autoSpaceDN w:val="0"/>
        <w:adjustRightInd w:val="0"/>
        <w:rPr>
          <w:rFonts w:ascii="Calibri" w:hAnsi="Calibri" w:cs="Arial"/>
          <w:b/>
          <w:bCs/>
        </w:rPr>
      </w:pPr>
      <w:r w:rsidRPr="00964BA8">
        <w:rPr>
          <w:rFonts w:ascii="Calibri" w:hAnsi="Calibri"/>
        </w:rPr>
        <w:t>BA9™ was designed specifically for use in drug-eluting stent systems. In addition to effective immunosuppressive and anti-inflammatory properties, the drug has a higher lipophilic and hydrophobic profile than other limus analogs, enabling rapid absorption of the drug into the targeted tissue and reduced systemic exposure. Precision automated coating ensures the PLA and drug combination is applied only to the abluminal (outer) surface of the stent. The PLA fully degrades into water and carbon dioxide over a six to nine month period as the drug elutes, ultimately leaving in place a biocompatible stent surface.</w:t>
      </w:r>
    </w:p>
    <w:p w:rsidR="0081264A" w:rsidRPr="00AE572B" w:rsidRDefault="0081264A" w:rsidP="00AE572B">
      <w:pPr>
        <w:autoSpaceDE w:val="0"/>
        <w:autoSpaceDN w:val="0"/>
        <w:adjustRightInd w:val="0"/>
        <w:rPr>
          <w:rFonts w:asciiTheme="minorHAnsi" w:hAnsiTheme="minorHAnsi" w:cs="Calibri"/>
          <w:color w:val="000000"/>
          <w:sz w:val="18"/>
          <w:szCs w:val="18"/>
        </w:rPr>
      </w:pPr>
    </w:p>
    <w:sectPr w:rsidR="0081264A" w:rsidRPr="00AE572B" w:rsidSect="0081264A">
      <w:headerReference w:type="default" r:id="rId9"/>
      <w:pgSz w:w="11909" w:h="16834" w:code="9"/>
      <w:pgMar w:top="1440" w:right="1109" w:bottom="144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0A40" w:rsidRDefault="00F00A40">
      <w:r>
        <w:separator/>
      </w:r>
    </w:p>
  </w:endnote>
  <w:endnote w:type="continuationSeparator" w:id="1">
    <w:p w:rsidR="00F00A40" w:rsidRDefault="00F00A40">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0A40" w:rsidRDefault="00F00A40">
      <w:r>
        <w:separator/>
      </w:r>
    </w:p>
  </w:footnote>
  <w:footnote w:type="continuationSeparator" w:id="1">
    <w:p w:rsidR="00F00A40" w:rsidRDefault="00F00A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0E8" w:rsidRDefault="00AE572B" w:rsidP="004B6F1C">
    <w:pPr>
      <w:pStyle w:val="Header"/>
      <w:jc w:val="center"/>
      <w:rPr>
        <w:rFonts w:ascii="Arial" w:hAnsi="Arial" w:cs="Arial"/>
      </w:rPr>
    </w:pPr>
    <w:r>
      <w:rPr>
        <w:rFonts w:ascii="Arial" w:hAnsi="Arial" w:cs="Arial"/>
        <w:noProof/>
      </w:rPr>
      <w:drawing>
        <wp:inline distT="0" distB="0" distL="0" distR="0">
          <wp:extent cx="1952625" cy="10668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11250" t="22000" r="66875" b="59000"/>
                  <a:stretch>
                    <a:fillRect/>
                  </a:stretch>
                </pic:blipFill>
                <pic:spPr bwMode="auto">
                  <a:xfrm>
                    <a:off x="0" y="0"/>
                    <a:ext cx="1952625" cy="1066800"/>
                  </a:xfrm>
                  <a:prstGeom prst="rect">
                    <a:avLst/>
                  </a:prstGeom>
                  <a:noFill/>
                  <a:ln w="9525">
                    <a:noFill/>
                    <a:miter lim="800000"/>
                    <a:headEnd/>
                    <a:tailEnd/>
                  </a:ln>
                </pic:spPr>
              </pic:pic>
            </a:graphicData>
          </a:graphic>
        </wp:inline>
      </w:drawing>
    </w:r>
  </w:p>
  <w:p w:rsidR="00E910E8" w:rsidRDefault="004B6F1C">
    <w:pPr>
      <w:pStyle w:val="Header"/>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495B0B"/>
    <w:multiLevelType w:val="hybridMultilevel"/>
    <w:tmpl w:val="4E92B184"/>
    <w:lvl w:ilvl="0" w:tplc="80D26756">
      <w:start w:val="1"/>
      <w:numFmt w:val="bullet"/>
      <w:lvlText w:val="•"/>
      <w:lvlJc w:val="left"/>
      <w:pPr>
        <w:tabs>
          <w:tab w:val="num" w:pos="720"/>
        </w:tabs>
        <w:ind w:left="720" w:hanging="360"/>
      </w:pPr>
      <w:rPr>
        <w:rFonts w:ascii="Arial" w:hAnsi="Arial" w:hint="default"/>
      </w:rPr>
    </w:lvl>
    <w:lvl w:ilvl="1" w:tplc="C9ECFA16">
      <w:start w:val="1459"/>
      <w:numFmt w:val="bullet"/>
      <w:lvlText w:val="–"/>
      <w:lvlJc w:val="left"/>
      <w:pPr>
        <w:tabs>
          <w:tab w:val="num" w:pos="1440"/>
        </w:tabs>
        <w:ind w:left="1440" w:hanging="360"/>
      </w:pPr>
      <w:rPr>
        <w:rFonts w:ascii="Arial" w:hAnsi="Arial" w:hint="default"/>
      </w:rPr>
    </w:lvl>
    <w:lvl w:ilvl="2" w:tplc="BA92EBB6" w:tentative="1">
      <w:start w:val="1"/>
      <w:numFmt w:val="bullet"/>
      <w:lvlText w:val="•"/>
      <w:lvlJc w:val="left"/>
      <w:pPr>
        <w:tabs>
          <w:tab w:val="num" w:pos="2160"/>
        </w:tabs>
        <w:ind w:left="2160" w:hanging="360"/>
      </w:pPr>
      <w:rPr>
        <w:rFonts w:ascii="Arial" w:hAnsi="Arial" w:hint="default"/>
      </w:rPr>
    </w:lvl>
    <w:lvl w:ilvl="3" w:tplc="56B4C416" w:tentative="1">
      <w:start w:val="1"/>
      <w:numFmt w:val="bullet"/>
      <w:lvlText w:val="•"/>
      <w:lvlJc w:val="left"/>
      <w:pPr>
        <w:tabs>
          <w:tab w:val="num" w:pos="2880"/>
        </w:tabs>
        <w:ind w:left="2880" w:hanging="360"/>
      </w:pPr>
      <w:rPr>
        <w:rFonts w:ascii="Arial" w:hAnsi="Arial" w:hint="default"/>
      </w:rPr>
    </w:lvl>
    <w:lvl w:ilvl="4" w:tplc="392821D2" w:tentative="1">
      <w:start w:val="1"/>
      <w:numFmt w:val="bullet"/>
      <w:lvlText w:val="•"/>
      <w:lvlJc w:val="left"/>
      <w:pPr>
        <w:tabs>
          <w:tab w:val="num" w:pos="3600"/>
        </w:tabs>
        <w:ind w:left="3600" w:hanging="360"/>
      </w:pPr>
      <w:rPr>
        <w:rFonts w:ascii="Arial" w:hAnsi="Arial" w:hint="default"/>
      </w:rPr>
    </w:lvl>
    <w:lvl w:ilvl="5" w:tplc="DF46437C" w:tentative="1">
      <w:start w:val="1"/>
      <w:numFmt w:val="bullet"/>
      <w:lvlText w:val="•"/>
      <w:lvlJc w:val="left"/>
      <w:pPr>
        <w:tabs>
          <w:tab w:val="num" w:pos="4320"/>
        </w:tabs>
        <w:ind w:left="4320" w:hanging="360"/>
      </w:pPr>
      <w:rPr>
        <w:rFonts w:ascii="Arial" w:hAnsi="Arial" w:hint="default"/>
      </w:rPr>
    </w:lvl>
    <w:lvl w:ilvl="6" w:tplc="47225C78" w:tentative="1">
      <w:start w:val="1"/>
      <w:numFmt w:val="bullet"/>
      <w:lvlText w:val="•"/>
      <w:lvlJc w:val="left"/>
      <w:pPr>
        <w:tabs>
          <w:tab w:val="num" w:pos="5040"/>
        </w:tabs>
        <w:ind w:left="5040" w:hanging="360"/>
      </w:pPr>
      <w:rPr>
        <w:rFonts w:ascii="Arial" w:hAnsi="Arial" w:hint="default"/>
      </w:rPr>
    </w:lvl>
    <w:lvl w:ilvl="7" w:tplc="FD1491C4" w:tentative="1">
      <w:start w:val="1"/>
      <w:numFmt w:val="bullet"/>
      <w:lvlText w:val="•"/>
      <w:lvlJc w:val="left"/>
      <w:pPr>
        <w:tabs>
          <w:tab w:val="num" w:pos="5760"/>
        </w:tabs>
        <w:ind w:left="5760" w:hanging="360"/>
      </w:pPr>
      <w:rPr>
        <w:rFonts w:ascii="Arial" w:hAnsi="Arial" w:hint="default"/>
      </w:rPr>
    </w:lvl>
    <w:lvl w:ilvl="8" w:tplc="95EC228A" w:tentative="1">
      <w:start w:val="1"/>
      <w:numFmt w:val="bullet"/>
      <w:lvlText w:val="•"/>
      <w:lvlJc w:val="left"/>
      <w:pPr>
        <w:tabs>
          <w:tab w:val="num" w:pos="6480"/>
        </w:tabs>
        <w:ind w:left="6480" w:hanging="360"/>
      </w:pPr>
      <w:rPr>
        <w:rFonts w:ascii="Arial" w:hAnsi="Arial" w:hint="default"/>
      </w:rPr>
    </w:lvl>
  </w:abstractNum>
  <w:abstractNum w:abstractNumId="1">
    <w:nsid w:val="214D3CAB"/>
    <w:multiLevelType w:val="hybridMultilevel"/>
    <w:tmpl w:val="7506F690"/>
    <w:lvl w:ilvl="0" w:tplc="B62C5586">
      <w:start w:val="1"/>
      <w:numFmt w:val="bullet"/>
      <w:lvlText w:val="•"/>
      <w:lvlJc w:val="left"/>
      <w:pPr>
        <w:tabs>
          <w:tab w:val="num" w:pos="360"/>
        </w:tabs>
        <w:ind w:left="360" w:hanging="360"/>
      </w:pPr>
      <w:rPr>
        <w:rFonts w:ascii="Arial" w:hAnsi="Arial" w:hint="default"/>
      </w:rPr>
    </w:lvl>
    <w:lvl w:ilvl="1" w:tplc="69A2C39A">
      <w:start w:val="1"/>
      <w:numFmt w:val="bullet"/>
      <w:lvlText w:val="•"/>
      <w:lvlJc w:val="left"/>
      <w:pPr>
        <w:tabs>
          <w:tab w:val="num" w:pos="1080"/>
        </w:tabs>
        <w:ind w:left="1080" w:hanging="360"/>
      </w:pPr>
      <w:rPr>
        <w:rFonts w:ascii="Arial" w:hAnsi="Arial" w:hint="default"/>
      </w:rPr>
    </w:lvl>
    <w:lvl w:ilvl="2" w:tplc="6FC09A12">
      <w:start w:val="1089"/>
      <w:numFmt w:val="bullet"/>
      <w:lvlText w:val="•"/>
      <w:lvlJc w:val="left"/>
      <w:pPr>
        <w:tabs>
          <w:tab w:val="num" w:pos="1800"/>
        </w:tabs>
        <w:ind w:left="1800" w:hanging="360"/>
      </w:pPr>
      <w:rPr>
        <w:rFonts w:ascii="Times New Roman" w:hAnsi="Times New Roman" w:hint="default"/>
      </w:rPr>
    </w:lvl>
    <w:lvl w:ilvl="3" w:tplc="1D4C6DEC">
      <w:start w:val="1089"/>
      <w:numFmt w:val="bullet"/>
      <w:lvlText w:val="•"/>
      <w:lvlJc w:val="left"/>
      <w:pPr>
        <w:tabs>
          <w:tab w:val="num" w:pos="2520"/>
        </w:tabs>
        <w:ind w:left="2520" w:hanging="360"/>
      </w:pPr>
      <w:rPr>
        <w:rFonts w:ascii="Arial" w:hAnsi="Arial" w:hint="default"/>
      </w:rPr>
    </w:lvl>
    <w:lvl w:ilvl="4" w:tplc="81842BAE" w:tentative="1">
      <w:start w:val="1"/>
      <w:numFmt w:val="bullet"/>
      <w:lvlText w:val="•"/>
      <w:lvlJc w:val="left"/>
      <w:pPr>
        <w:tabs>
          <w:tab w:val="num" w:pos="3240"/>
        </w:tabs>
        <w:ind w:left="3240" w:hanging="360"/>
      </w:pPr>
      <w:rPr>
        <w:rFonts w:ascii="Arial" w:hAnsi="Arial" w:hint="default"/>
      </w:rPr>
    </w:lvl>
    <w:lvl w:ilvl="5" w:tplc="2A5A499C" w:tentative="1">
      <w:start w:val="1"/>
      <w:numFmt w:val="bullet"/>
      <w:lvlText w:val="•"/>
      <w:lvlJc w:val="left"/>
      <w:pPr>
        <w:tabs>
          <w:tab w:val="num" w:pos="3960"/>
        </w:tabs>
        <w:ind w:left="3960" w:hanging="360"/>
      </w:pPr>
      <w:rPr>
        <w:rFonts w:ascii="Arial" w:hAnsi="Arial" w:hint="default"/>
      </w:rPr>
    </w:lvl>
    <w:lvl w:ilvl="6" w:tplc="54A82E54" w:tentative="1">
      <w:start w:val="1"/>
      <w:numFmt w:val="bullet"/>
      <w:lvlText w:val="•"/>
      <w:lvlJc w:val="left"/>
      <w:pPr>
        <w:tabs>
          <w:tab w:val="num" w:pos="4680"/>
        </w:tabs>
        <w:ind w:left="4680" w:hanging="360"/>
      </w:pPr>
      <w:rPr>
        <w:rFonts w:ascii="Arial" w:hAnsi="Arial" w:hint="default"/>
      </w:rPr>
    </w:lvl>
    <w:lvl w:ilvl="7" w:tplc="B594828A" w:tentative="1">
      <w:start w:val="1"/>
      <w:numFmt w:val="bullet"/>
      <w:lvlText w:val="•"/>
      <w:lvlJc w:val="left"/>
      <w:pPr>
        <w:tabs>
          <w:tab w:val="num" w:pos="5400"/>
        </w:tabs>
        <w:ind w:left="5400" w:hanging="360"/>
      </w:pPr>
      <w:rPr>
        <w:rFonts w:ascii="Arial" w:hAnsi="Arial" w:hint="default"/>
      </w:rPr>
    </w:lvl>
    <w:lvl w:ilvl="8" w:tplc="7B4CAF28" w:tentative="1">
      <w:start w:val="1"/>
      <w:numFmt w:val="bullet"/>
      <w:lvlText w:val="•"/>
      <w:lvlJc w:val="left"/>
      <w:pPr>
        <w:tabs>
          <w:tab w:val="num" w:pos="6120"/>
        </w:tabs>
        <w:ind w:left="6120" w:hanging="360"/>
      </w:pPr>
      <w:rPr>
        <w:rFonts w:ascii="Arial" w:hAnsi="Arial" w:hint="default"/>
      </w:rPr>
    </w:lvl>
  </w:abstractNum>
  <w:abstractNum w:abstractNumId="2">
    <w:nsid w:val="21B85258"/>
    <w:multiLevelType w:val="hybridMultilevel"/>
    <w:tmpl w:val="A54AA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2E7EEB"/>
    <w:multiLevelType w:val="hybridMultilevel"/>
    <w:tmpl w:val="80C2FD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CAD6CB9"/>
    <w:multiLevelType w:val="hybridMultilevel"/>
    <w:tmpl w:val="A9940C42"/>
    <w:lvl w:ilvl="0" w:tplc="8DD49EF8">
      <w:start w:val="1"/>
      <w:numFmt w:val="bullet"/>
      <w:lvlText w:val="•"/>
      <w:lvlJc w:val="left"/>
      <w:pPr>
        <w:tabs>
          <w:tab w:val="num" w:pos="720"/>
        </w:tabs>
        <w:ind w:left="720" w:hanging="360"/>
      </w:pPr>
      <w:rPr>
        <w:rFonts w:ascii="Arial" w:hAnsi="Arial" w:hint="default"/>
      </w:rPr>
    </w:lvl>
    <w:lvl w:ilvl="1" w:tplc="3DBE23BC">
      <w:start w:val="1"/>
      <w:numFmt w:val="bullet"/>
      <w:lvlText w:val="•"/>
      <w:lvlJc w:val="left"/>
      <w:pPr>
        <w:tabs>
          <w:tab w:val="num" w:pos="1440"/>
        </w:tabs>
        <w:ind w:left="1440" w:hanging="360"/>
      </w:pPr>
      <w:rPr>
        <w:rFonts w:ascii="Arial" w:hAnsi="Arial" w:hint="default"/>
      </w:rPr>
    </w:lvl>
    <w:lvl w:ilvl="2" w:tplc="5B1CD37A">
      <w:start w:val="240"/>
      <w:numFmt w:val="bullet"/>
      <w:lvlText w:val="•"/>
      <w:lvlJc w:val="left"/>
      <w:pPr>
        <w:tabs>
          <w:tab w:val="num" w:pos="2160"/>
        </w:tabs>
        <w:ind w:left="2160" w:hanging="360"/>
      </w:pPr>
      <w:rPr>
        <w:rFonts w:ascii="Times New Roman" w:hAnsi="Times New Roman" w:hint="default"/>
      </w:rPr>
    </w:lvl>
    <w:lvl w:ilvl="3" w:tplc="77486756" w:tentative="1">
      <w:start w:val="1"/>
      <w:numFmt w:val="bullet"/>
      <w:lvlText w:val="•"/>
      <w:lvlJc w:val="left"/>
      <w:pPr>
        <w:tabs>
          <w:tab w:val="num" w:pos="2880"/>
        </w:tabs>
        <w:ind w:left="2880" w:hanging="360"/>
      </w:pPr>
      <w:rPr>
        <w:rFonts w:ascii="Arial" w:hAnsi="Arial" w:hint="default"/>
      </w:rPr>
    </w:lvl>
    <w:lvl w:ilvl="4" w:tplc="E5905096" w:tentative="1">
      <w:start w:val="1"/>
      <w:numFmt w:val="bullet"/>
      <w:lvlText w:val="•"/>
      <w:lvlJc w:val="left"/>
      <w:pPr>
        <w:tabs>
          <w:tab w:val="num" w:pos="3600"/>
        </w:tabs>
        <w:ind w:left="3600" w:hanging="360"/>
      </w:pPr>
      <w:rPr>
        <w:rFonts w:ascii="Arial" w:hAnsi="Arial" w:hint="default"/>
      </w:rPr>
    </w:lvl>
    <w:lvl w:ilvl="5" w:tplc="FCE482F6" w:tentative="1">
      <w:start w:val="1"/>
      <w:numFmt w:val="bullet"/>
      <w:lvlText w:val="•"/>
      <w:lvlJc w:val="left"/>
      <w:pPr>
        <w:tabs>
          <w:tab w:val="num" w:pos="4320"/>
        </w:tabs>
        <w:ind w:left="4320" w:hanging="360"/>
      </w:pPr>
      <w:rPr>
        <w:rFonts w:ascii="Arial" w:hAnsi="Arial" w:hint="default"/>
      </w:rPr>
    </w:lvl>
    <w:lvl w:ilvl="6" w:tplc="9AA2E124" w:tentative="1">
      <w:start w:val="1"/>
      <w:numFmt w:val="bullet"/>
      <w:lvlText w:val="•"/>
      <w:lvlJc w:val="left"/>
      <w:pPr>
        <w:tabs>
          <w:tab w:val="num" w:pos="5040"/>
        </w:tabs>
        <w:ind w:left="5040" w:hanging="360"/>
      </w:pPr>
      <w:rPr>
        <w:rFonts w:ascii="Arial" w:hAnsi="Arial" w:hint="default"/>
      </w:rPr>
    </w:lvl>
    <w:lvl w:ilvl="7" w:tplc="9C54C9B8" w:tentative="1">
      <w:start w:val="1"/>
      <w:numFmt w:val="bullet"/>
      <w:lvlText w:val="•"/>
      <w:lvlJc w:val="left"/>
      <w:pPr>
        <w:tabs>
          <w:tab w:val="num" w:pos="5760"/>
        </w:tabs>
        <w:ind w:left="5760" w:hanging="360"/>
      </w:pPr>
      <w:rPr>
        <w:rFonts w:ascii="Arial" w:hAnsi="Arial" w:hint="default"/>
      </w:rPr>
    </w:lvl>
    <w:lvl w:ilvl="8" w:tplc="28967364" w:tentative="1">
      <w:start w:val="1"/>
      <w:numFmt w:val="bullet"/>
      <w:lvlText w:val="•"/>
      <w:lvlJc w:val="left"/>
      <w:pPr>
        <w:tabs>
          <w:tab w:val="num" w:pos="6480"/>
        </w:tabs>
        <w:ind w:left="6480" w:hanging="360"/>
      </w:pPr>
      <w:rPr>
        <w:rFonts w:ascii="Arial" w:hAnsi="Arial" w:hint="default"/>
      </w:rPr>
    </w:lvl>
  </w:abstractNum>
  <w:abstractNum w:abstractNumId="5">
    <w:nsid w:val="66A5165D"/>
    <w:multiLevelType w:val="hybridMultilevel"/>
    <w:tmpl w:val="667E9088"/>
    <w:lvl w:ilvl="0" w:tplc="30F46A56">
      <w:start w:val="1"/>
      <w:numFmt w:val="bullet"/>
      <w:lvlText w:val="•"/>
      <w:lvlJc w:val="left"/>
      <w:pPr>
        <w:tabs>
          <w:tab w:val="num" w:pos="720"/>
        </w:tabs>
        <w:ind w:left="720" w:hanging="360"/>
      </w:pPr>
      <w:rPr>
        <w:rFonts w:ascii="Arial" w:hAnsi="Arial" w:hint="default"/>
      </w:rPr>
    </w:lvl>
    <w:lvl w:ilvl="1" w:tplc="E7B0DAF8">
      <w:start w:val="1"/>
      <w:numFmt w:val="bullet"/>
      <w:lvlText w:val="•"/>
      <w:lvlJc w:val="left"/>
      <w:pPr>
        <w:tabs>
          <w:tab w:val="num" w:pos="1440"/>
        </w:tabs>
        <w:ind w:left="1440" w:hanging="360"/>
      </w:pPr>
      <w:rPr>
        <w:rFonts w:ascii="Arial" w:hAnsi="Arial" w:hint="default"/>
      </w:rPr>
    </w:lvl>
    <w:lvl w:ilvl="2" w:tplc="083AF782" w:tentative="1">
      <w:start w:val="1"/>
      <w:numFmt w:val="bullet"/>
      <w:lvlText w:val="•"/>
      <w:lvlJc w:val="left"/>
      <w:pPr>
        <w:tabs>
          <w:tab w:val="num" w:pos="2160"/>
        </w:tabs>
        <w:ind w:left="2160" w:hanging="360"/>
      </w:pPr>
      <w:rPr>
        <w:rFonts w:ascii="Arial" w:hAnsi="Arial" w:hint="default"/>
      </w:rPr>
    </w:lvl>
    <w:lvl w:ilvl="3" w:tplc="D54EB5B6" w:tentative="1">
      <w:start w:val="1"/>
      <w:numFmt w:val="bullet"/>
      <w:lvlText w:val="•"/>
      <w:lvlJc w:val="left"/>
      <w:pPr>
        <w:tabs>
          <w:tab w:val="num" w:pos="2880"/>
        </w:tabs>
        <w:ind w:left="2880" w:hanging="360"/>
      </w:pPr>
      <w:rPr>
        <w:rFonts w:ascii="Arial" w:hAnsi="Arial" w:hint="default"/>
      </w:rPr>
    </w:lvl>
    <w:lvl w:ilvl="4" w:tplc="8E6EB08C" w:tentative="1">
      <w:start w:val="1"/>
      <w:numFmt w:val="bullet"/>
      <w:lvlText w:val="•"/>
      <w:lvlJc w:val="left"/>
      <w:pPr>
        <w:tabs>
          <w:tab w:val="num" w:pos="3600"/>
        </w:tabs>
        <w:ind w:left="3600" w:hanging="360"/>
      </w:pPr>
      <w:rPr>
        <w:rFonts w:ascii="Arial" w:hAnsi="Arial" w:hint="default"/>
      </w:rPr>
    </w:lvl>
    <w:lvl w:ilvl="5" w:tplc="7A6AAED2" w:tentative="1">
      <w:start w:val="1"/>
      <w:numFmt w:val="bullet"/>
      <w:lvlText w:val="•"/>
      <w:lvlJc w:val="left"/>
      <w:pPr>
        <w:tabs>
          <w:tab w:val="num" w:pos="4320"/>
        </w:tabs>
        <w:ind w:left="4320" w:hanging="360"/>
      </w:pPr>
      <w:rPr>
        <w:rFonts w:ascii="Arial" w:hAnsi="Arial" w:hint="default"/>
      </w:rPr>
    </w:lvl>
    <w:lvl w:ilvl="6" w:tplc="224C44A6" w:tentative="1">
      <w:start w:val="1"/>
      <w:numFmt w:val="bullet"/>
      <w:lvlText w:val="•"/>
      <w:lvlJc w:val="left"/>
      <w:pPr>
        <w:tabs>
          <w:tab w:val="num" w:pos="5040"/>
        </w:tabs>
        <w:ind w:left="5040" w:hanging="360"/>
      </w:pPr>
      <w:rPr>
        <w:rFonts w:ascii="Arial" w:hAnsi="Arial" w:hint="default"/>
      </w:rPr>
    </w:lvl>
    <w:lvl w:ilvl="7" w:tplc="211C935E" w:tentative="1">
      <w:start w:val="1"/>
      <w:numFmt w:val="bullet"/>
      <w:lvlText w:val="•"/>
      <w:lvlJc w:val="left"/>
      <w:pPr>
        <w:tabs>
          <w:tab w:val="num" w:pos="5760"/>
        </w:tabs>
        <w:ind w:left="5760" w:hanging="360"/>
      </w:pPr>
      <w:rPr>
        <w:rFonts w:ascii="Arial" w:hAnsi="Arial" w:hint="default"/>
      </w:rPr>
    </w:lvl>
    <w:lvl w:ilvl="8" w:tplc="1B307BC2" w:tentative="1">
      <w:start w:val="1"/>
      <w:numFmt w:val="bullet"/>
      <w:lvlText w:val="•"/>
      <w:lvlJc w:val="left"/>
      <w:pPr>
        <w:tabs>
          <w:tab w:val="num" w:pos="6480"/>
        </w:tabs>
        <w:ind w:left="6480" w:hanging="360"/>
      </w:pPr>
      <w:rPr>
        <w:rFonts w:ascii="Arial" w:hAnsi="Arial" w:hint="default"/>
      </w:rPr>
    </w:lvl>
  </w:abstractNum>
  <w:abstractNum w:abstractNumId="6">
    <w:nsid w:val="765D217D"/>
    <w:multiLevelType w:val="hybridMultilevel"/>
    <w:tmpl w:val="045C88AE"/>
    <w:lvl w:ilvl="0" w:tplc="0FE62976">
      <w:start w:val="1"/>
      <w:numFmt w:val="bullet"/>
      <w:lvlText w:val="•"/>
      <w:lvlJc w:val="left"/>
      <w:pPr>
        <w:tabs>
          <w:tab w:val="num" w:pos="720"/>
        </w:tabs>
        <w:ind w:left="720" w:hanging="360"/>
      </w:pPr>
      <w:rPr>
        <w:rFonts w:ascii="Arial" w:hAnsi="Arial" w:hint="default"/>
      </w:rPr>
    </w:lvl>
    <w:lvl w:ilvl="1" w:tplc="FA3EB8AA">
      <w:start w:val="1459"/>
      <w:numFmt w:val="bullet"/>
      <w:lvlText w:val="–"/>
      <w:lvlJc w:val="left"/>
      <w:pPr>
        <w:tabs>
          <w:tab w:val="num" w:pos="1440"/>
        </w:tabs>
        <w:ind w:left="1440" w:hanging="360"/>
      </w:pPr>
      <w:rPr>
        <w:rFonts w:ascii="Arial" w:hAnsi="Arial" w:hint="default"/>
      </w:rPr>
    </w:lvl>
    <w:lvl w:ilvl="2" w:tplc="D5E678BC" w:tentative="1">
      <w:start w:val="1"/>
      <w:numFmt w:val="bullet"/>
      <w:lvlText w:val="•"/>
      <w:lvlJc w:val="left"/>
      <w:pPr>
        <w:tabs>
          <w:tab w:val="num" w:pos="2160"/>
        </w:tabs>
        <w:ind w:left="2160" w:hanging="360"/>
      </w:pPr>
      <w:rPr>
        <w:rFonts w:ascii="Arial" w:hAnsi="Arial" w:hint="default"/>
      </w:rPr>
    </w:lvl>
    <w:lvl w:ilvl="3" w:tplc="21787ED2" w:tentative="1">
      <w:start w:val="1"/>
      <w:numFmt w:val="bullet"/>
      <w:lvlText w:val="•"/>
      <w:lvlJc w:val="left"/>
      <w:pPr>
        <w:tabs>
          <w:tab w:val="num" w:pos="2880"/>
        </w:tabs>
        <w:ind w:left="2880" w:hanging="360"/>
      </w:pPr>
      <w:rPr>
        <w:rFonts w:ascii="Arial" w:hAnsi="Arial" w:hint="default"/>
      </w:rPr>
    </w:lvl>
    <w:lvl w:ilvl="4" w:tplc="C95EC5B8" w:tentative="1">
      <w:start w:val="1"/>
      <w:numFmt w:val="bullet"/>
      <w:lvlText w:val="•"/>
      <w:lvlJc w:val="left"/>
      <w:pPr>
        <w:tabs>
          <w:tab w:val="num" w:pos="3600"/>
        </w:tabs>
        <w:ind w:left="3600" w:hanging="360"/>
      </w:pPr>
      <w:rPr>
        <w:rFonts w:ascii="Arial" w:hAnsi="Arial" w:hint="default"/>
      </w:rPr>
    </w:lvl>
    <w:lvl w:ilvl="5" w:tplc="ADB205D8" w:tentative="1">
      <w:start w:val="1"/>
      <w:numFmt w:val="bullet"/>
      <w:lvlText w:val="•"/>
      <w:lvlJc w:val="left"/>
      <w:pPr>
        <w:tabs>
          <w:tab w:val="num" w:pos="4320"/>
        </w:tabs>
        <w:ind w:left="4320" w:hanging="360"/>
      </w:pPr>
      <w:rPr>
        <w:rFonts w:ascii="Arial" w:hAnsi="Arial" w:hint="default"/>
      </w:rPr>
    </w:lvl>
    <w:lvl w:ilvl="6" w:tplc="A1248C06" w:tentative="1">
      <w:start w:val="1"/>
      <w:numFmt w:val="bullet"/>
      <w:lvlText w:val="•"/>
      <w:lvlJc w:val="left"/>
      <w:pPr>
        <w:tabs>
          <w:tab w:val="num" w:pos="5040"/>
        </w:tabs>
        <w:ind w:left="5040" w:hanging="360"/>
      </w:pPr>
      <w:rPr>
        <w:rFonts w:ascii="Arial" w:hAnsi="Arial" w:hint="default"/>
      </w:rPr>
    </w:lvl>
    <w:lvl w:ilvl="7" w:tplc="6E9E1B42" w:tentative="1">
      <w:start w:val="1"/>
      <w:numFmt w:val="bullet"/>
      <w:lvlText w:val="•"/>
      <w:lvlJc w:val="left"/>
      <w:pPr>
        <w:tabs>
          <w:tab w:val="num" w:pos="5760"/>
        </w:tabs>
        <w:ind w:left="5760" w:hanging="360"/>
      </w:pPr>
      <w:rPr>
        <w:rFonts w:ascii="Arial" w:hAnsi="Arial" w:hint="default"/>
      </w:rPr>
    </w:lvl>
    <w:lvl w:ilvl="8" w:tplc="F1527E08"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0"/>
  </w:num>
  <w:num w:numId="3">
    <w:abstractNumId w:val="6"/>
  </w:num>
  <w:num w:numId="4">
    <w:abstractNumId w:val="4"/>
  </w:num>
  <w:num w:numId="5">
    <w:abstractNumId w:val="1"/>
  </w:num>
  <w:num w:numId="6">
    <w:abstractNumId w:val="5"/>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hdrShapeDefaults>
    <o:shapedefaults v:ext="edit" spidmax="4098"/>
  </w:hdrShapeDefaults>
  <w:footnotePr>
    <w:footnote w:id="0"/>
    <w:footnote w:id="1"/>
  </w:footnotePr>
  <w:endnotePr>
    <w:endnote w:id="0"/>
    <w:endnote w:id="1"/>
  </w:endnotePr>
  <w:compat/>
  <w:rsids>
    <w:rsidRoot w:val="00BF5FD3"/>
    <w:rsid w:val="00030672"/>
    <w:rsid w:val="00167290"/>
    <w:rsid w:val="001B2ACB"/>
    <w:rsid w:val="00257FD1"/>
    <w:rsid w:val="00297366"/>
    <w:rsid w:val="002D2687"/>
    <w:rsid w:val="003477A4"/>
    <w:rsid w:val="0042217A"/>
    <w:rsid w:val="00464079"/>
    <w:rsid w:val="004B6F1C"/>
    <w:rsid w:val="004D3791"/>
    <w:rsid w:val="00584CE3"/>
    <w:rsid w:val="005A3AEE"/>
    <w:rsid w:val="005C0152"/>
    <w:rsid w:val="00616EA7"/>
    <w:rsid w:val="007C1513"/>
    <w:rsid w:val="0081264A"/>
    <w:rsid w:val="0088651C"/>
    <w:rsid w:val="0092259B"/>
    <w:rsid w:val="009918D8"/>
    <w:rsid w:val="009A752B"/>
    <w:rsid w:val="009C6BB0"/>
    <w:rsid w:val="00A63654"/>
    <w:rsid w:val="00AA7582"/>
    <w:rsid w:val="00AC22C2"/>
    <w:rsid w:val="00AC297E"/>
    <w:rsid w:val="00AE572B"/>
    <w:rsid w:val="00B16A3E"/>
    <w:rsid w:val="00BF5FD3"/>
    <w:rsid w:val="00C366F5"/>
    <w:rsid w:val="00CE4A67"/>
    <w:rsid w:val="00DA11C2"/>
    <w:rsid w:val="00DA5452"/>
    <w:rsid w:val="00E910E8"/>
    <w:rsid w:val="00EB7540"/>
    <w:rsid w:val="00F00A40"/>
    <w:rsid w:val="00FF4C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D26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D2687"/>
    <w:rPr>
      <w:rFonts w:ascii="Tahoma" w:hAnsi="Tahoma" w:cs="Tahoma"/>
      <w:sz w:val="16"/>
      <w:szCs w:val="16"/>
    </w:rPr>
  </w:style>
  <w:style w:type="character" w:customStyle="1" w:styleId="BalloonTextChar">
    <w:name w:val="Balloon Text Char"/>
    <w:basedOn w:val="DefaultParagraphFont"/>
    <w:semiHidden/>
    <w:locked/>
    <w:rsid w:val="002D2687"/>
    <w:rPr>
      <w:rFonts w:cs="Times New Roman"/>
      <w:sz w:val="2"/>
    </w:rPr>
  </w:style>
  <w:style w:type="character" w:styleId="CommentReference">
    <w:name w:val="annotation reference"/>
    <w:basedOn w:val="DefaultParagraphFont"/>
    <w:semiHidden/>
    <w:rsid w:val="002D2687"/>
    <w:rPr>
      <w:rFonts w:cs="Times New Roman"/>
      <w:sz w:val="16"/>
      <w:szCs w:val="16"/>
    </w:rPr>
  </w:style>
  <w:style w:type="paragraph" w:styleId="CommentText">
    <w:name w:val="annotation text"/>
    <w:basedOn w:val="Normal"/>
    <w:semiHidden/>
    <w:rsid w:val="002D2687"/>
    <w:rPr>
      <w:sz w:val="20"/>
      <w:szCs w:val="20"/>
    </w:rPr>
  </w:style>
  <w:style w:type="character" w:customStyle="1" w:styleId="CommentTextChar">
    <w:name w:val="Comment Text Char"/>
    <w:basedOn w:val="DefaultParagraphFont"/>
    <w:semiHidden/>
    <w:locked/>
    <w:rsid w:val="002D2687"/>
    <w:rPr>
      <w:rFonts w:cs="Times New Roman"/>
    </w:rPr>
  </w:style>
  <w:style w:type="paragraph" w:styleId="CommentSubject">
    <w:name w:val="annotation subject"/>
    <w:basedOn w:val="CommentText"/>
    <w:next w:val="CommentText"/>
    <w:semiHidden/>
    <w:rsid w:val="002D2687"/>
    <w:rPr>
      <w:b/>
      <w:bCs/>
    </w:rPr>
  </w:style>
  <w:style w:type="character" w:customStyle="1" w:styleId="CommentSubjectChar">
    <w:name w:val="Comment Subject Char"/>
    <w:basedOn w:val="CommentTextChar"/>
    <w:semiHidden/>
    <w:locked/>
    <w:rsid w:val="002D2687"/>
    <w:rPr>
      <w:b/>
      <w:bCs/>
    </w:rPr>
  </w:style>
  <w:style w:type="character" w:styleId="Hyperlink">
    <w:name w:val="Hyperlink"/>
    <w:basedOn w:val="DefaultParagraphFont"/>
    <w:rsid w:val="002D2687"/>
    <w:rPr>
      <w:rFonts w:cs="Times New Roman"/>
      <w:color w:val="0000FF"/>
      <w:u w:val="single"/>
    </w:rPr>
  </w:style>
  <w:style w:type="character" w:customStyle="1" w:styleId="bodytext1">
    <w:name w:val="bodytext1"/>
    <w:basedOn w:val="DefaultParagraphFont"/>
    <w:rsid w:val="002D2687"/>
    <w:rPr>
      <w:rFonts w:ascii="Verdana" w:hAnsi="Verdana" w:cs="Arial"/>
      <w:color w:val="000000"/>
      <w:sz w:val="18"/>
      <w:szCs w:val="18"/>
    </w:rPr>
  </w:style>
  <w:style w:type="paragraph" w:styleId="Header">
    <w:name w:val="header"/>
    <w:basedOn w:val="Normal"/>
    <w:rsid w:val="002D2687"/>
    <w:pPr>
      <w:tabs>
        <w:tab w:val="center" w:pos="4320"/>
        <w:tab w:val="right" w:pos="8640"/>
      </w:tabs>
    </w:pPr>
  </w:style>
  <w:style w:type="character" w:customStyle="1" w:styleId="HeaderChar">
    <w:name w:val="Header Char"/>
    <w:basedOn w:val="DefaultParagraphFont"/>
    <w:semiHidden/>
    <w:locked/>
    <w:rsid w:val="002D2687"/>
    <w:rPr>
      <w:rFonts w:cs="Times New Roman"/>
      <w:sz w:val="24"/>
      <w:szCs w:val="24"/>
    </w:rPr>
  </w:style>
  <w:style w:type="paragraph" w:styleId="Footer">
    <w:name w:val="footer"/>
    <w:basedOn w:val="Normal"/>
    <w:rsid w:val="002D2687"/>
    <w:pPr>
      <w:tabs>
        <w:tab w:val="center" w:pos="4320"/>
        <w:tab w:val="right" w:pos="8640"/>
      </w:tabs>
    </w:pPr>
  </w:style>
  <w:style w:type="character" w:customStyle="1" w:styleId="FooterChar">
    <w:name w:val="Footer Char"/>
    <w:basedOn w:val="DefaultParagraphFont"/>
    <w:semiHidden/>
    <w:locked/>
    <w:rsid w:val="002D2687"/>
    <w:rPr>
      <w:rFonts w:cs="Times New Roman"/>
      <w:sz w:val="24"/>
      <w:szCs w:val="24"/>
    </w:rPr>
  </w:style>
  <w:style w:type="paragraph" w:styleId="BodyText">
    <w:name w:val="Body Text"/>
    <w:basedOn w:val="Normal"/>
    <w:rsid w:val="002D2687"/>
    <w:pPr>
      <w:spacing w:line="480" w:lineRule="auto"/>
      <w:jc w:val="both"/>
    </w:pPr>
    <w:rPr>
      <w:lang w:eastAsia="es-ES"/>
    </w:rPr>
  </w:style>
  <w:style w:type="character" w:customStyle="1" w:styleId="BodyTextChar">
    <w:name w:val="Body Text Char"/>
    <w:basedOn w:val="DefaultParagraphFont"/>
    <w:semiHidden/>
    <w:locked/>
    <w:rsid w:val="002D2687"/>
    <w:rPr>
      <w:rFonts w:cs="Times New Roman"/>
      <w:sz w:val="24"/>
      <w:szCs w:val="24"/>
    </w:rPr>
  </w:style>
  <w:style w:type="paragraph" w:styleId="Revision">
    <w:name w:val="Revision"/>
    <w:hidden/>
    <w:uiPriority w:val="99"/>
    <w:semiHidden/>
    <w:rsid w:val="00A97B27"/>
    <w:rPr>
      <w:sz w:val="24"/>
      <w:szCs w:val="24"/>
    </w:rPr>
  </w:style>
  <w:style w:type="paragraph" w:styleId="DocumentMap">
    <w:name w:val="Document Map"/>
    <w:basedOn w:val="Normal"/>
    <w:semiHidden/>
    <w:rsid w:val="0016081E"/>
    <w:pPr>
      <w:shd w:val="clear" w:color="auto" w:fill="000080"/>
    </w:pPr>
    <w:rPr>
      <w:rFonts w:ascii="Tahoma" w:hAnsi="Tahoma" w:cs="Tahoma"/>
      <w:sz w:val="20"/>
      <w:szCs w:val="20"/>
    </w:rPr>
  </w:style>
  <w:style w:type="paragraph" w:styleId="NormalWeb">
    <w:name w:val="Normal (Web)"/>
    <w:basedOn w:val="Normal"/>
    <w:uiPriority w:val="99"/>
    <w:unhideWhenUsed/>
    <w:rsid w:val="00C404CB"/>
    <w:pPr>
      <w:spacing w:before="100" w:beforeAutospacing="1" w:after="100" w:afterAutospacing="1"/>
    </w:pPr>
  </w:style>
  <w:style w:type="paragraph" w:customStyle="1" w:styleId="Default">
    <w:name w:val="Default"/>
    <w:rsid w:val="00616EA7"/>
    <w:pPr>
      <w:autoSpaceDE w:val="0"/>
      <w:autoSpaceDN w:val="0"/>
      <w:adjustRightInd w:val="0"/>
    </w:pPr>
    <w:rPr>
      <w:rFonts w:ascii="Calibri" w:eastAsia="Batang" w:hAnsi="Calibri" w:cs="Calibri"/>
      <w:color w:val="000000"/>
      <w:sz w:val="24"/>
      <w:szCs w:val="24"/>
      <w:lang w:eastAsia="ja-JP"/>
    </w:rPr>
  </w:style>
</w:styles>
</file>

<file path=word/webSettings.xml><?xml version="1.0" encoding="utf-8"?>
<w:webSettings xmlns:r="http://schemas.openxmlformats.org/officeDocument/2006/relationships" xmlns:w="http://schemas.openxmlformats.org/wordprocessingml/2006/main">
  <w:divs>
    <w:div w:id="329064584">
      <w:bodyDiv w:val="1"/>
      <w:marLeft w:val="0"/>
      <w:marRight w:val="0"/>
      <w:marTop w:val="0"/>
      <w:marBottom w:val="0"/>
      <w:divBdr>
        <w:top w:val="none" w:sz="0" w:space="0" w:color="auto"/>
        <w:left w:val="none" w:sz="0" w:space="0" w:color="auto"/>
        <w:bottom w:val="none" w:sz="0" w:space="0" w:color="auto"/>
        <w:right w:val="none" w:sz="0" w:space="0" w:color="auto"/>
      </w:divBdr>
      <w:divsChild>
        <w:div w:id="410539641">
          <w:marLeft w:val="0"/>
          <w:marRight w:val="0"/>
          <w:marTop w:val="0"/>
          <w:marBottom w:val="0"/>
          <w:divBdr>
            <w:top w:val="none" w:sz="0" w:space="0" w:color="auto"/>
            <w:left w:val="none" w:sz="0" w:space="0" w:color="auto"/>
            <w:bottom w:val="none" w:sz="0" w:space="0" w:color="auto"/>
            <w:right w:val="none" w:sz="0" w:space="0" w:color="auto"/>
          </w:divBdr>
        </w:div>
      </w:divsChild>
    </w:div>
    <w:div w:id="557057815">
      <w:bodyDiv w:val="1"/>
      <w:marLeft w:val="0"/>
      <w:marRight w:val="0"/>
      <w:marTop w:val="0"/>
      <w:marBottom w:val="0"/>
      <w:divBdr>
        <w:top w:val="none" w:sz="0" w:space="0" w:color="auto"/>
        <w:left w:val="none" w:sz="0" w:space="0" w:color="auto"/>
        <w:bottom w:val="none" w:sz="0" w:space="0" w:color="auto"/>
        <w:right w:val="none" w:sz="0" w:space="0" w:color="auto"/>
      </w:divBdr>
      <w:divsChild>
        <w:div w:id="374433650">
          <w:marLeft w:val="994"/>
          <w:marRight w:val="0"/>
          <w:marTop w:val="125"/>
          <w:marBottom w:val="0"/>
          <w:divBdr>
            <w:top w:val="none" w:sz="0" w:space="0" w:color="auto"/>
            <w:left w:val="none" w:sz="0" w:space="0" w:color="auto"/>
            <w:bottom w:val="none" w:sz="0" w:space="0" w:color="auto"/>
            <w:right w:val="none" w:sz="0" w:space="0" w:color="auto"/>
          </w:divBdr>
        </w:div>
        <w:div w:id="629366352">
          <w:marLeft w:val="1800"/>
          <w:marRight w:val="0"/>
          <w:marTop w:val="115"/>
          <w:marBottom w:val="0"/>
          <w:divBdr>
            <w:top w:val="none" w:sz="0" w:space="0" w:color="auto"/>
            <w:left w:val="none" w:sz="0" w:space="0" w:color="auto"/>
            <w:bottom w:val="none" w:sz="0" w:space="0" w:color="auto"/>
            <w:right w:val="none" w:sz="0" w:space="0" w:color="auto"/>
          </w:divBdr>
        </w:div>
        <w:div w:id="867063015">
          <w:marLeft w:val="994"/>
          <w:marRight w:val="0"/>
          <w:marTop w:val="125"/>
          <w:marBottom w:val="0"/>
          <w:divBdr>
            <w:top w:val="none" w:sz="0" w:space="0" w:color="auto"/>
            <w:left w:val="none" w:sz="0" w:space="0" w:color="auto"/>
            <w:bottom w:val="none" w:sz="0" w:space="0" w:color="auto"/>
            <w:right w:val="none" w:sz="0" w:space="0" w:color="auto"/>
          </w:divBdr>
        </w:div>
        <w:div w:id="1358196735">
          <w:marLeft w:val="1800"/>
          <w:marRight w:val="0"/>
          <w:marTop w:val="115"/>
          <w:marBottom w:val="0"/>
          <w:divBdr>
            <w:top w:val="none" w:sz="0" w:space="0" w:color="auto"/>
            <w:left w:val="none" w:sz="0" w:space="0" w:color="auto"/>
            <w:bottom w:val="none" w:sz="0" w:space="0" w:color="auto"/>
            <w:right w:val="none" w:sz="0" w:space="0" w:color="auto"/>
          </w:divBdr>
        </w:div>
        <w:div w:id="1421442541">
          <w:marLeft w:val="1800"/>
          <w:marRight w:val="0"/>
          <w:marTop w:val="115"/>
          <w:marBottom w:val="0"/>
          <w:divBdr>
            <w:top w:val="none" w:sz="0" w:space="0" w:color="auto"/>
            <w:left w:val="none" w:sz="0" w:space="0" w:color="auto"/>
            <w:bottom w:val="none" w:sz="0" w:space="0" w:color="auto"/>
            <w:right w:val="none" w:sz="0" w:space="0" w:color="auto"/>
          </w:divBdr>
        </w:div>
      </w:divsChild>
    </w:div>
    <w:div w:id="1035696753">
      <w:bodyDiv w:val="1"/>
      <w:marLeft w:val="0"/>
      <w:marRight w:val="0"/>
      <w:marTop w:val="0"/>
      <w:marBottom w:val="0"/>
      <w:divBdr>
        <w:top w:val="none" w:sz="0" w:space="0" w:color="auto"/>
        <w:left w:val="none" w:sz="0" w:space="0" w:color="auto"/>
        <w:bottom w:val="none" w:sz="0" w:space="0" w:color="auto"/>
        <w:right w:val="none" w:sz="0" w:space="0" w:color="auto"/>
      </w:divBdr>
      <w:divsChild>
        <w:div w:id="413357011">
          <w:marLeft w:val="994"/>
          <w:marRight w:val="0"/>
          <w:marTop w:val="115"/>
          <w:marBottom w:val="0"/>
          <w:divBdr>
            <w:top w:val="none" w:sz="0" w:space="0" w:color="auto"/>
            <w:left w:val="none" w:sz="0" w:space="0" w:color="auto"/>
            <w:bottom w:val="none" w:sz="0" w:space="0" w:color="auto"/>
            <w:right w:val="none" w:sz="0" w:space="0" w:color="auto"/>
          </w:divBdr>
        </w:div>
        <w:div w:id="597956002">
          <w:marLeft w:val="994"/>
          <w:marRight w:val="0"/>
          <w:marTop w:val="115"/>
          <w:marBottom w:val="0"/>
          <w:divBdr>
            <w:top w:val="none" w:sz="0" w:space="0" w:color="auto"/>
            <w:left w:val="none" w:sz="0" w:space="0" w:color="auto"/>
            <w:bottom w:val="none" w:sz="0" w:space="0" w:color="auto"/>
            <w:right w:val="none" w:sz="0" w:space="0" w:color="auto"/>
          </w:divBdr>
        </w:div>
        <w:div w:id="1428844668">
          <w:marLeft w:val="1800"/>
          <w:marRight w:val="0"/>
          <w:marTop w:val="96"/>
          <w:marBottom w:val="0"/>
          <w:divBdr>
            <w:top w:val="none" w:sz="0" w:space="0" w:color="auto"/>
            <w:left w:val="none" w:sz="0" w:space="0" w:color="auto"/>
            <w:bottom w:val="none" w:sz="0" w:space="0" w:color="auto"/>
            <w:right w:val="none" w:sz="0" w:space="0" w:color="auto"/>
          </w:divBdr>
        </w:div>
        <w:div w:id="1596405503">
          <w:marLeft w:val="2520"/>
          <w:marRight w:val="0"/>
          <w:marTop w:val="86"/>
          <w:marBottom w:val="0"/>
          <w:divBdr>
            <w:top w:val="none" w:sz="0" w:space="0" w:color="auto"/>
            <w:left w:val="none" w:sz="0" w:space="0" w:color="auto"/>
            <w:bottom w:val="none" w:sz="0" w:space="0" w:color="auto"/>
            <w:right w:val="none" w:sz="0" w:space="0" w:color="auto"/>
          </w:divBdr>
        </w:div>
        <w:div w:id="1696694039">
          <w:marLeft w:val="994"/>
          <w:marRight w:val="0"/>
          <w:marTop w:val="106"/>
          <w:marBottom w:val="0"/>
          <w:divBdr>
            <w:top w:val="none" w:sz="0" w:space="0" w:color="auto"/>
            <w:left w:val="none" w:sz="0" w:space="0" w:color="auto"/>
            <w:bottom w:val="none" w:sz="0" w:space="0" w:color="auto"/>
            <w:right w:val="none" w:sz="0" w:space="0" w:color="auto"/>
          </w:divBdr>
        </w:div>
      </w:divsChild>
    </w:div>
    <w:div w:id="1572502810">
      <w:bodyDiv w:val="1"/>
      <w:marLeft w:val="0"/>
      <w:marRight w:val="0"/>
      <w:marTop w:val="0"/>
      <w:marBottom w:val="0"/>
      <w:divBdr>
        <w:top w:val="none" w:sz="0" w:space="0" w:color="auto"/>
        <w:left w:val="none" w:sz="0" w:space="0" w:color="auto"/>
        <w:bottom w:val="none" w:sz="0" w:space="0" w:color="auto"/>
        <w:right w:val="none" w:sz="0" w:space="0" w:color="auto"/>
      </w:divBdr>
      <w:divsChild>
        <w:div w:id="561717729">
          <w:marLeft w:val="1166"/>
          <w:marRight w:val="0"/>
          <w:marTop w:val="115"/>
          <w:marBottom w:val="0"/>
          <w:divBdr>
            <w:top w:val="none" w:sz="0" w:space="0" w:color="auto"/>
            <w:left w:val="none" w:sz="0" w:space="0" w:color="auto"/>
            <w:bottom w:val="none" w:sz="0" w:space="0" w:color="auto"/>
            <w:right w:val="none" w:sz="0" w:space="0" w:color="auto"/>
          </w:divBdr>
        </w:div>
        <w:div w:id="727453982">
          <w:marLeft w:val="547"/>
          <w:marRight w:val="0"/>
          <w:marTop w:val="130"/>
          <w:marBottom w:val="0"/>
          <w:divBdr>
            <w:top w:val="none" w:sz="0" w:space="0" w:color="auto"/>
            <w:left w:val="none" w:sz="0" w:space="0" w:color="auto"/>
            <w:bottom w:val="none" w:sz="0" w:space="0" w:color="auto"/>
            <w:right w:val="none" w:sz="0" w:space="0" w:color="auto"/>
          </w:divBdr>
        </w:div>
        <w:div w:id="1038967966">
          <w:marLeft w:val="1166"/>
          <w:marRight w:val="0"/>
          <w:marTop w:val="115"/>
          <w:marBottom w:val="0"/>
          <w:divBdr>
            <w:top w:val="none" w:sz="0" w:space="0" w:color="auto"/>
            <w:left w:val="none" w:sz="0" w:space="0" w:color="auto"/>
            <w:bottom w:val="none" w:sz="0" w:space="0" w:color="auto"/>
            <w:right w:val="none" w:sz="0" w:space="0" w:color="auto"/>
          </w:divBdr>
        </w:div>
        <w:div w:id="1216086849">
          <w:marLeft w:val="1166"/>
          <w:marRight w:val="0"/>
          <w:marTop w:val="115"/>
          <w:marBottom w:val="0"/>
          <w:divBdr>
            <w:top w:val="none" w:sz="0" w:space="0" w:color="auto"/>
            <w:left w:val="none" w:sz="0" w:space="0" w:color="auto"/>
            <w:bottom w:val="none" w:sz="0" w:space="0" w:color="auto"/>
            <w:right w:val="none" w:sz="0" w:space="0" w:color="auto"/>
          </w:divBdr>
        </w:div>
      </w:divsChild>
    </w:div>
    <w:div w:id="1926913852">
      <w:bodyDiv w:val="1"/>
      <w:marLeft w:val="0"/>
      <w:marRight w:val="0"/>
      <w:marTop w:val="0"/>
      <w:marBottom w:val="0"/>
      <w:divBdr>
        <w:top w:val="none" w:sz="0" w:space="0" w:color="auto"/>
        <w:left w:val="none" w:sz="0" w:space="0" w:color="auto"/>
        <w:bottom w:val="none" w:sz="0" w:space="0" w:color="auto"/>
        <w:right w:val="none" w:sz="0" w:space="0" w:color="auto"/>
      </w:divBdr>
      <w:divsChild>
        <w:div w:id="68042266">
          <w:marLeft w:val="1166"/>
          <w:marRight w:val="0"/>
          <w:marTop w:val="115"/>
          <w:marBottom w:val="0"/>
          <w:divBdr>
            <w:top w:val="none" w:sz="0" w:space="0" w:color="auto"/>
            <w:left w:val="none" w:sz="0" w:space="0" w:color="auto"/>
            <w:bottom w:val="none" w:sz="0" w:space="0" w:color="auto"/>
            <w:right w:val="none" w:sz="0" w:space="0" w:color="auto"/>
          </w:divBdr>
        </w:div>
        <w:div w:id="726147463">
          <w:marLeft w:val="547"/>
          <w:marRight w:val="0"/>
          <w:marTop w:val="130"/>
          <w:marBottom w:val="0"/>
          <w:divBdr>
            <w:top w:val="none" w:sz="0" w:space="0" w:color="auto"/>
            <w:left w:val="none" w:sz="0" w:space="0" w:color="auto"/>
            <w:bottom w:val="none" w:sz="0" w:space="0" w:color="auto"/>
            <w:right w:val="none" w:sz="0" w:space="0" w:color="auto"/>
          </w:divBdr>
        </w:div>
        <w:div w:id="1261648119">
          <w:marLeft w:val="1166"/>
          <w:marRight w:val="0"/>
          <w:marTop w:val="115"/>
          <w:marBottom w:val="0"/>
          <w:divBdr>
            <w:top w:val="none" w:sz="0" w:space="0" w:color="auto"/>
            <w:left w:val="none" w:sz="0" w:space="0" w:color="auto"/>
            <w:bottom w:val="none" w:sz="0" w:space="0" w:color="auto"/>
            <w:right w:val="none" w:sz="0" w:space="0" w:color="auto"/>
          </w:divBdr>
        </w:div>
        <w:div w:id="2135978212">
          <w:marLeft w:val="1166"/>
          <w:marRight w:val="0"/>
          <w:marTop w:val="115"/>
          <w:marBottom w:val="0"/>
          <w:divBdr>
            <w:top w:val="none" w:sz="0" w:space="0" w:color="auto"/>
            <w:left w:val="none" w:sz="0" w:space="0" w:color="auto"/>
            <w:bottom w:val="none" w:sz="0" w:space="0" w:color="auto"/>
            <w:right w:val="none" w:sz="0" w:space="0" w:color="auto"/>
          </w:divBdr>
        </w:div>
      </w:divsChild>
    </w:div>
    <w:div w:id="1956787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ichard@rkpr.co.uk" TargetMode="External"/><Relationship Id="rId3" Type="http://schemas.openxmlformats.org/officeDocument/2006/relationships/settings" Target="settings.xml"/><Relationship Id="rId7" Type="http://schemas.openxmlformats.org/officeDocument/2006/relationships/hyperlink" Target="mailto:s.meis@biosensor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430</Words>
  <Characters>2454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Biosensors Biofreedom Release</vt:lpstr>
    </vt:vector>
  </TitlesOfParts>
  <Company>Biosensors</Company>
  <LinksUpToDate>false</LinksUpToDate>
  <CharactersWithSpaces>2879</CharactersWithSpaces>
  <SharedDoc>false</SharedDoc>
  <HLinks>
    <vt:vector size="18" baseType="variant">
      <vt:variant>
        <vt:i4>2883638</vt:i4>
      </vt:variant>
      <vt:variant>
        <vt:i4>6</vt:i4>
      </vt:variant>
      <vt:variant>
        <vt:i4>0</vt:i4>
      </vt:variant>
      <vt:variant>
        <vt:i4>5</vt:i4>
      </vt:variant>
      <vt:variant>
        <vt:lpwstr>http://www.biosensors.com/</vt:lpwstr>
      </vt:variant>
      <vt:variant>
        <vt:lpwstr/>
      </vt:variant>
      <vt:variant>
        <vt:i4>4194349</vt:i4>
      </vt:variant>
      <vt:variant>
        <vt:i4>3</vt:i4>
      </vt:variant>
      <vt:variant>
        <vt:i4>0</vt:i4>
      </vt:variant>
      <vt:variant>
        <vt:i4>5</vt:i4>
      </vt:variant>
      <vt:variant>
        <vt:lpwstr>mailto:richard@rkpr.co.uk</vt:lpwstr>
      </vt:variant>
      <vt:variant>
        <vt:lpwstr/>
      </vt:variant>
      <vt:variant>
        <vt:i4>3342426</vt:i4>
      </vt:variant>
      <vt:variant>
        <vt:i4>0</vt:i4>
      </vt:variant>
      <vt:variant>
        <vt:i4>0</vt:i4>
      </vt:variant>
      <vt:variant>
        <vt:i4>5</vt:i4>
      </vt:variant>
      <vt:variant>
        <vt:lpwstr>mailto:s.meis@biosensors.com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Biosensors Biofreedom Release</dc:title>
  <dc:subject/>
  <dc:creator>Richard Kenyon</dc:creator>
  <cp:keywords/>
  <dc:description/>
  <cp:lastModifiedBy>Lydia Kenyon</cp:lastModifiedBy>
  <cp:revision>2</cp:revision>
  <cp:lastPrinted>2009-09-24T12:41:00Z</cp:lastPrinted>
  <dcterms:created xsi:type="dcterms:W3CDTF">2011-06-14T08:36:00Z</dcterms:created>
  <dcterms:modified xsi:type="dcterms:W3CDTF">2011-06-14T08:36:00Z</dcterms:modified>
</cp:coreProperties>
</file>