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2B" w:rsidRPr="000B0266" w:rsidRDefault="00AE572B" w:rsidP="00AE572B">
      <w:pPr>
        <w:autoSpaceDE w:val="0"/>
        <w:autoSpaceDN w:val="0"/>
        <w:adjustRightInd w:val="0"/>
        <w:jc w:val="center"/>
        <w:rPr>
          <w:rFonts w:ascii="Calibri" w:hAnsi="Calibri" w:cs="Calibri"/>
          <w:b/>
          <w:bCs/>
          <w:color w:val="000000"/>
          <w:sz w:val="40"/>
          <w:szCs w:val="40"/>
        </w:rPr>
      </w:pPr>
      <w:r w:rsidRPr="000B0266">
        <w:rPr>
          <w:rFonts w:ascii="Calibri" w:hAnsi="Calibri" w:cs="Calibri"/>
          <w:b/>
          <w:bCs/>
          <w:color w:val="000000"/>
          <w:sz w:val="40"/>
          <w:szCs w:val="40"/>
        </w:rPr>
        <w:t>NEWS RELEASE</w:t>
      </w:r>
    </w:p>
    <w:p w:rsidR="00AE572B" w:rsidRDefault="00AE572B" w:rsidP="00AE572B">
      <w:pPr>
        <w:autoSpaceDE w:val="0"/>
        <w:autoSpaceDN w:val="0"/>
        <w:adjustRightInd w:val="0"/>
        <w:rPr>
          <w:rFonts w:ascii="Calibri" w:hAnsi="Calibri" w:cs="Calibri"/>
          <w:b/>
          <w:bCs/>
          <w:color w:val="000000"/>
          <w:sz w:val="28"/>
          <w:szCs w:val="28"/>
        </w:rPr>
      </w:pPr>
    </w:p>
    <w:p w:rsidR="00B512F8" w:rsidRPr="00251119" w:rsidRDefault="00B512F8" w:rsidP="00B512F8">
      <w:pPr>
        <w:autoSpaceDE w:val="0"/>
        <w:autoSpaceDN w:val="0"/>
        <w:adjustRightInd w:val="0"/>
        <w:jc w:val="center"/>
        <w:rPr>
          <w:rFonts w:ascii="Calibri" w:hAnsi="Calibri" w:cs="Arial"/>
          <w:b/>
          <w:bCs/>
          <w:sz w:val="36"/>
          <w:szCs w:val="36"/>
        </w:rPr>
      </w:pPr>
      <w:r w:rsidRPr="0025335E">
        <w:rPr>
          <w:rFonts w:ascii="Calibri" w:hAnsi="Calibri" w:cs="Arial"/>
          <w:b/>
          <w:bCs/>
          <w:sz w:val="36"/>
          <w:szCs w:val="36"/>
        </w:rPr>
        <w:t>Biosensors Launches BioMatrix Flex</w:t>
      </w:r>
      <w:r w:rsidRPr="0025335E">
        <w:rPr>
          <w:rFonts w:ascii="Calibri" w:hAnsi="Calibri" w:cs="Arial"/>
          <w:b/>
          <w:bCs/>
          <w:sz w:val="36"/>
          <w:szCs w:val="36"/>
          <w:vertAlign w:val="superscript"/>
        </w:rPr>
        <w:t xml:space="preserve">™ </w:t>
      </w:r>
      <w:r w:rsidRPr="0025335E">
        <w:rPr>
          <w:rFonts w:ascii="Calibri" w:hAnsi="Calibri" w:cs="Arial"/>
          <w:b/>
          <w:bCs/>
          <w:sz w:val="36"/>
          <w:szCs w:val="36"/>
        </w:rPr>
        <w:t>DES</w:t>
      </w:r>
    </w:p>
    <w:p w:rsidR="00B512F8" w:rsidRPr="00251119" w:rsidRDefault="00B512F8" w:rsidP="00B512F8">
      <w:pPr>
        <w:autoSpaceDE w:val="0"/>
        <w:autoSpaceDN w:val="0"/>
        <w:adjustRightInd w:val="0"/>
        <w:jc w:val="center"/>
        <w:rPr>
          <w:rFonts w:ascii="Calibri" w:hAnsi="Calibri" w:cs="Arial"/>
          <w:b/>
          <w:bCs/>
          <w:strike/>
          <w:sz w:val="32"/>
          <w:szCs w:val="32"/>
        </w:rPr>
      </w:pPr>
    </w:p>
    <w:p w:rsidR="00B512F8" w:rsidRDefault="00B512F8" w:rsidP="00B512F8">
      <w:pPr>
        <w:pStyle w:val="Default"/>
        <w:jc w:val="both"/>
        <w:rPr>
          <w:rFonts w:eastAsia="Times New Roman"/>
          <w:lang w:eastAsia="en-US"/>
        </w:rPr>
      </w:pPr>
      <w:r>
        <w:rPr>
          <w:b/>
          <w:bCs/>
        </w:rPr>
        <w:t>21</w:t>
      </w:r>
      <w:r w:rsidRPr="00251119">
        <w:rPr>
          <w:b/>
          <w:bCs/>
        </w:rPr>
        <w:t xml:space="preserve"> May 2010 – </w:t>
      </w:r>
      <w:r w:rsidRPr="00251119">
        <w:t xml:space="preserve">Biosensors International today announced the launch of its BioMatrix Flex™ drug-eluting stent (DES) system in major European markets and selected regions in the Middle East, Africa and Asia. An extension of the company’s breakthrough BioMatrix™ </w:t>
      </w:r>
      <w:r>
        <w:t>DES system</w:t>
      </w:r>
      <w:r w:rsidRPr="00251119">
        <w:t xml:space="preserve">, </w:t>
      </w:r>
      <w:r>
        <w:t xml:space="preserve">the </w:t>
      </w:r>
      <w:r w:rsidRPr="00251119">
        <w:t xml:space="preserve">BioMatrix Flex </w:t>
      </w:r>
      <w:r>
        <w:t xml:space="preserve">stent </w:t>
      </w:r>
      <w:r w:rsidRPr="00251119">
        <w:t xml:space="preserve">has received CE Mark </w:t>
      </w:r>
      <w:r>
        <w:t>a</w:t>
      </w:r>
      <w:r w:rsidRPr="00251119">
        <w:t>pproval for a comprehensive range of indications, including STEMI, Acute Coronary Syndromes and Diabetes Mellitus.</w:t>
      </w:r>
    </w:p>
    <w:p w:rsidR="00B512F8" w:rsidRDefault="00B512F8" w:rsidP="00B512F8">
      <w:pPr>
        <w:pStyle w:val="Default"/>
        <w:jc w:val="both"/>
      </w:pPr>
    </w:p>
    <w:p w:rsidR="00B512F8" w:rsidRDefault="00B512F8" w:rsidP="00B512F8">
      <w:pPr>
        <w:pStyle w:val="Default"/>
        <w:jc w:val="both"/>
      </w:pPr>
      <w:r>
        <w:t xml:space="preserve">The </w:t>
      </w:r>
      <w:r w:rsidRPr="00251119">
        <w:t xml:space="preserve">BioMatrix Flex </w:t>
      </w:r>
      <w:r>
        <w:t xml:space="preserve">stent incorporates </w:t>
      </w:r>
      <w:r w:rsidRPr="00251119">
        <w:t xml:space="preserve">an improved mechanical platform for enhanced deliverability. The unique combination of a Biosensors-developed abluminal biodegradable polymer and proprietary limus drug, Biolimus A9™ (BA9™), which made </w:t>
      </w:r>
      <w:r>
        <w:t xml:space="preserve">the </w:t>
      </w:r>
      <w:r w:rsidRPr="00251119">
        <w:t xml:space="preserve">BioMatrix </w:t>
      </w:r>
      <w:r>
        <w:t xml:space="preserve">stent </w:t>
      </w:r>
      <w:r w:rsidRPr="00251119">
        <w:t>so successful, remains unchanged.</w:t>
      </w:r>
    </w:p>
    <w:p w:rsidR="00B512F8" w:rsidRDefault="00B512F8" w:rsidP="00B512F8">
      <w:pPr>
        <w:pStyle w:val="Default"/>
        <w:jc w:val="both"/>
      </w:pPr>
    </w:p>
    <w:p w:rsidR="00B512F8" w:rsidRPr="00076A59" w:rsidRDefault="00B512F8" w:rsidP="00B512F8">
      <w:pPr>
        <w:rPr>
          <w:rFonts w:asciiTheme="minorHAnsi" w:hAnsiTheme="minorHAnsi"/>
        </w:rPr>
      </w:pPr>
      <w:r w:rsidRPr="00076A59">
        <w:rPr>
          <w:rFonts w:asciiTheme="minorHAnsi" w:hAnsiTheme="minorHAnsi"/>
        </w:rPr>
        <w:t xml:space="preserve">The new stent platform combines a curved strut connector with the established Quadrature Link™ design of the existing platform, improving flexibility and trackability, while ensuring stent security and vessel scaffolding. A larger initial cell opening also improves side branch accessibility. There has also been a simplification to the manufacturing process, reducing manufacturing time. This has removed the need for a primer coating to adhere the polymer and drug to the stent, with a Biosensors’ proprietary process now applying the polymer and drug directly onto the stent struts. </w:t>
      </w:r>
    </w:p>
    <w:p w:rsidR="00B512F8" w:rsidRDefault="00B512F8" w:rsidP="00B512F8">
      <w:pPr>
        <w:pStyle w:val="Default"/>
        <w:jc w:val="both"/>
      </w:pPr>
    </w:p>
    <w:p w:rsidR="00B512F8" w:rsidRDefault="00B512F8" w:rsidP="00B512F8">
      <w:pPr>
        <w:pStyle w:val="Default"/>
        <w:jc w:val="both"/>
      </w:pPr>
      <w:r w:rsidRPr="00251119">
        <w:t>“</w:t>
      </w:r>
      <w:r>
        <w:t xml:space="preserve">Since launching BioMatrix in 2008, Biosensors has helped physicians around the world offer improved treatment options to patients suffering from complex cardiovascular disease,” said Jeffrey B. Jump, </w:t>
      </w:r>
      <w:r w:rsidRPr="00251119">
        <w:t>Managing Director of Biosensors Europe</w:t>
      </w:r>
      <w:r>
        <w:t xml:space="preserve">. “With BioMatrix Flex, we now offer the same proven clinical and safety benefits with improved deliverability to help doctors treat even the most complex and hard-to-reach lesions. And we continue our commitment to </w:t>
      </w:r>
      <w:r w:rsidRPr="00251119">
        <w:t>developing innovati</w:t>
      </w:r>
      <w:r>
        <w:t>ve medical products that</w:t>
      </w:r>
      <w:r w:rsidRPr="00251119">
        <w:t xml:space="preserve"> help improve patients’ lives.”</w:t>
      </w:r>
    </w:p>
    <w:p w:rsidR="00B512F8" w:rsidRDefault="00B512F8" w:rsidP="00B512F8">
      <w:pPr>
        <w:pStyle w:val="Default"/>
        <w:jc w:val="both"/>
      </w:pPr>
    </w:p>
    <w:p w:rsidR="00B512F8" w:rsidRDefault="00B512F8" w:rsidP="00B512F8">
      <w:pPr>
        <w:pStyle w:val="Default"/>
        <w:jc w:val="both"/>
      </w:pPr>
      <w:r>
        <w:t xml:space="preserve">The </w:t>
      </w:r>
      <w:r w:rsidRPr="00251119">
        <w:t xml:space="preserve">BioMatrix Flex </w:t>
      </w:r>
      <w:r>
        <w:t xml:space="preserve">stent </w:t>
      </w:r>
      <w:r w:rsidRPr="00251119">
        <w:t xml:space="preserve">has been studied extensively in both pre-clinical and clinical settings, including the groundbreaking 1,707-patient LEADERS study, the results of which </w:t>
      </w:r>
      <w:r>
        <w:t>were published</w:t>
      </w:r>
      <w:r w:rsidRPr="00251119">
        <w:t xml:space="preserve"> in </w:t>
      </w:r>
      <w:r w:rsidRPr="00251119">
        <w:rPr>
          <w:i/>
        </w:rPr>
        <w:t>The</w:t>
      </w:r>
      <w:r w:rsidRPr="00251119">
        <w:t xml:space="preserve"> </w:t>
      </w:r>
      <w:r w:rsidRPr="00251119">
        <w:rPr>
          <w:i/>
        </w:rPr>
        <w:t xml:space="preserve">Lancet </w:t>
      </w:r>
      <w:r w:rsidRPr="00251119">
        <w:t xml:space="preserve">in October 2008. In that trial, the first head-to-head randomized trial between two DES in a ‘real world, all comers’ population using </w:t>
      </w:r>
      <w:r>
        <w:t xml:space="preserve">a </w:t>
      </w:r>
      <w:r w:rsidRPr="00251119">
        <w:t xml:space="preserve">clinical primary endpoint, </w:t>
      </w:r>
      <w:r>
        <w:t xml:space="preserve">the </w:t>
      </w:r>
      <w:r w:rsidRPr="00251119">
        <w:t xml:space="preserve">BioMatrix Flex </w:t>
      </w:r>
      <w:r>
        <w:t xml:space="preserve">stent </w:t>
      </w:r>
      <w:r w:rsidRPr="00251119">
        <w:t>demonstrated equivalent safety and efficacy to the Cypher® Select™</w:t>
      </w:r>
      <w:r>
        <w:t xml:space="preserve"> stent</w:t>
      </w:r>
      <w:r w:rsidRPr="00251119">
        <w:t xml:space="preserve">, based on nine-month clinical and angiographic follow-up data. </w:t>
      </w:r>
      <w:r>
        <w:t>In the two</w:t>
      </w:r>
      <w:r w:rsidRPr="00251119">
        <w:t xml:space="preserve">-year </w:t>
      </w:r>
      <w:r>
        <w:t xml:space="preserve">LEADERS </w:t>
      </w:r>
      <w:r w:rsidRPr="00251119">
        <w:t xml:space="preserve">results, presented at the Transcatheter </w:t>
      </w:r>
      <w:r>
        <w:t xml:space="preserve">Cardiovascular Therapeutics conference (TCT) </w:t>
      </w:r>
      <w:r w:rsidRPr="00251119">
        <w:t xml:space="preserve">in September 2009, </w:t>
      </w:r>
      <w:r>
        <w:t xml:space="preserve">the BioMatrix Flex stent continued to demonstrate equivalent </w:t>
      </w:r>
      <w:r w:rsidRPr="00251119">
        <w:t>safety and efficacy</w:t>
      </w:r>
      <w:r>
        <w:t xml:space="preserve"> as compared to the Cypher Select stent</w:t>
      </w:r>
      <w:r w:rsidRPr="00251119">
        <w:t xml:space="preserve">, with an increasing trend towards a </w:t>
      </w:r>
      <w:r>
        <w:t xml:space="preserve">long-term </w:t>
      </w:r>
      <w:r w:rsidRPr="00251119">
        <w:t xml:space="preserve">safety benefit </w:t>
      </w:r>
      <w:r>
        <w:t xml:space="preserve">in favor of the </w:t>
      </w:r>
      <w:r w:rsidRPr="00251119">
        <w:t>BioMatrix Flex</w:t>
      </w:r>
      <w:r>
        <w:t xml:space="preserve"> stent</w:t>
      </w:r>
      <w:r w:rsidRPr="00251119">
        <w:t>.</w:t>
      </w:r>
    </w:p>
    <w:p w:rsidR="00B512F8" w:rsidRDefault="00B512F8" w:rsidP="00B512F8">
      <w:pPr>
        <w:spacing w:after="120"/>
        <w:jc w:val="right"/>
        <w:outlineLvl w:val="0"/>
        <w:rPr>
          <w:rFonts w:ascii="Calibri" w:hAnsi="Calibri" w:cs="Arial"/>
          <w:b/>
        </w:rPr>
      </w:pPr>
      <w:r w:rsidRPr="00251119">
        <w:rPr>
          <w:rFonts w:ascii="Calibri" w:hAnsi="Calibri" w:cs="Arial"/>
          <w:b/>
        </w:rPr>
        <w:t>More/…</w:t>
      </w:r>
    </w:p>
    <w:p w:rsidR="00B512F8" w:rsidRPr="00251119" w:rsidRDefault="00B512F8" w:rsidP="00B512F8">
      <w:pPr>
        <w:pStyle w:val="Default"/>
      </w:pPr>
    </w:p>
    <w:p w:rsidR="00B512F8" w:rsidRDefault="00B512F8" w:rsidP="00B512F8">
      <w:pPr>
        <w:pStyle w:val="Default"/>
        <w:jc w:val="both"/>
      </w:pPr>
      <w:r w:rsidRPr="00251119">
        <w:t>Significant new data from the LEADERS trial will be presented at EuroPCR 2010, as part of the Hot Line I Late Breaking Registries and Trial Update session on 25 May.</w:t>
      </w:r>
    </w:p>
    <w:p w:rsidR="00B512F8" w:rsidRPr="00251119" w:rsidRDefault="00B512F8" w:rsidP="00B512F8">
      <w:pPr>
        <w:pStyle w:val="Default"/>
        <w:rPr>
          <w:b/>
          <w:bCs/>
        </w:rPr>
      </w:pPr>
    </w:p>
    <w:p w:rsidR="00B512F8" w:rsidRPr="00251119" w:rsidRDefault="00B512F8" w:rsidP="00B512F8">
      <w:pPr>
        <w:spacing w:after="120"/>
        <w:jc w:val="center"/>
        <w:rPr>
          <w:rFonts w:ascii="Arial" w:hAnsi="Arial" w:cs="Arial"/>
          <w:sz w:val="22"/>
          <w:szCs w:val="22"/>
        </w:rPr>
      </w:pPr>
      <w:r w:rsidRPr="00251119">
        <w:rPr>
          <w:rFonts w:ascii="Arial" w:hAnsi="Arial" w:cs="Arial"/>
          <w:b/>
          <w:bCs/>
          <w:sz w:val="22"/>
          <w:szCs w:val="22"/>
        </w:rPr>
        <w:t>-Ends-</w:t>
      </w:r>
    </w:p>
    <w:p w:rsidR="00B512F8" w:rsidRPr="00251119" w:rsidRDefault="00B512F8" w:rsidP="00B512F8">
      <w:pPr>
        <w:jc w:val="both"/>
        <w:rPr>
          <w:rStyle w:val="bodytext1"/>
          <w:rFonts w:ascii="Calibri" w:hAnsi="Calibri"/>
        </w:rPr>
      </w:pPr>
    </w:p>
    <w:p w:rsidR="00B512F8" w:rsidRPr="00251119" w:rsidRDefault="00B512F8" w:rsidP="00B512F8">
      <w:pPr>
        <w:jc w:val="both"/>
        <w:rPr>
          <w:rStyle w:val="bodytext1"/>
          <w:rFonts w:ascii="Calibri" w:hAnsi="Calibri"/>
        </w:rPr>
      </w:pPr>
    </w:p>
    <w:p w:rsidR="00B512F8" w:rsidRPr="00251119" w:rsidRDefault="00B512F8" w:rsidP="00B512F8">
      <w:pPr>
        <w:jc w:val="both"/>
        <w:rPr>
          <w:rStyle w:val="bodytext1"/>
          <w:rFonts w:ascii="Calibri" w:hAnsi="Calibri"/>
        </w:rPr>
      </w:pPr>
      <w:r w:rsidRPr="00251119">
        <w:rPr>
          <w:rStyle w:val="bodytext1"/>
          <w:rFonts w:ascii="Calibri" w:hAnsi="Calibri"/>
        </w:rPr>
        <w:t>For further information, please contact:</w:t>
      </w:r>
    </w:p>
    <w:p w:rsidR="00B512F8" w:rsidRPr="00251119" w:rsidRDefault="00B512F8" w:rsidP="00B512F8">
      <w:pPr>
        <w:jc w:val="both"/>
        <w:rPr>
          <w:rStyle w:val="bodytext1"/>
          <w:rFonts w:ascii="Calibri" w:hAnsi="Calibri"/>
        </w:rPr>
      </w:pPr>
    </w:p>
    <w:p w:rsidR="00B512F8" w:rsidRPr="00251119" w:rsidRDefault="00B512F8" w:rsidP="00B512F8">
      <w:pPr>
        <w:jc w:val="both"/>
        <w:outlineLvl w:val="0"/>
        <w:rPr>
          <w:rStyle w:val="bodytext1"/>
          <w:rFonts w:ascii="Calibri" w:hAnsi="Calibri"/>
        </w:rPr>
      </w:pPr>
      <w:r w:rsidRPr="00251119">
        <w:rPr>
          <w:rStyle w:val="bodytext1"/>
          <w:rFonts w:ascii="Calibri" w:hAnsi="Calibri"/>
        </w:rPr>
        <w:t xml:space="preserve">Susanne Meis: </w:t>
      </w:r>
      <w:hyperlink r:id="rId7" w:history="1">
        <w:r w:rsidRPr="00251119">
          <w:rPr>
            <w:rStyle w:val="Hyperlink"/>
            <w:rFonts w:ascii="Calibri" w:hAnsi="Calibri" w:cs="Tahoma"/>
          </w:rPr>
          <w:t>s.meis@biosensors.com</w:t>
        </w:r>
      </w:hyperlink>
      <w:r w:rsidRPr="0025335E">
        <w:rPr>
          <w:rFonts w:ascii="Calibri" w:hAnsi="Calibri" w:cs="Tahoma"/>
          <w:color w:val="444444"/>
        </w:rPr>
        <w:t xml:space="preserve"> </w:t>
      </w:r>
      <w:r w:rsidRPr="00251119">
        <w:rPr>
          <w:rStyle w:val="bodytext1"/>
          <w:rFonts w:ascii="Calibri" w:hAnsi="Calibri"/>
        </w:rPr>
        <w:t>+49 171 8918919</w:t>
      </w:r>
    </w:p>
    <w:p w:rsidR="00B512F8" w:rsidRPr="00251119" w:rsidRDefault="00B512F8" w:rsidP="00B512F8">
      <w:pPr>
        <w:jc w:val="both"/>
        <w:rPr>
          <w:rStyle w:val="bodytext1"/>
          <w:rFonts w:ascii="Calibri" w:hAnsi="Calibri"/>
        </w:rPr>
      </w:pPr>
    </w:p>
    <w:p w:rsidR="00B512F8" w:rsidRPr="00251119" w:rsidRDefault="00B512F8" w:rsidP="00B512F8">
      <w:pPr>
        <w:jc w:val="both"/>
        <w:outlineLvl w:val="0"/>
        <w:rPr>
          <w:rStyle w:val="bodytext1"/>
          <w:rFonts w:ascii="Calibri" w:hAnsi="Calibri"/>
        </w:rPr>
      </w:pPr>
      <w:r w:rsidRPr="00251119">
        <w:rPr>
          <w:rStyle w:val="bodytext1"/>
          <w:rFonts w:ascii="Calibri" w:hAnsi="Calibri"/>
        </w:rPr>
        <w:t xml:space="preserve">Richard Kenyon: </w:t>
      </w:r>
      <w:hyperlink r:id="rId8" w:history="1">
        <w:r w:rsidRPr="00251119">
          <w:rPr>
            <w:rStyle w:val="Hyperlink"/>
            <w:rFonts w:ascii="Calibri" w:hAnsi="Calibri" w:cs="Arial"/>
          </w:rPr>
          <w:t>richard@rkpr.co.uk</w:t>
        </w:r>
      </w:hyperlink>
      <w:r w:rsidRPr="00251119">
        <w:rPr>
          <w:rStyle w:val="bodytext1"/>
          <w:rFonts w:ascii="Calibri" w:hAnsi="Calibri"/>
        </w:rPr>
        <w:t xml:space="preserve">  +44 7831 569940</w:t>
      </w:r>
    </w:p>
    <w:p w:rsidR="00B512F8" w:rsidRPr="00251119" w:rsidRDefault="00B512F8" w:rsidP="00B512F8">
      <w:pPr>
        <w:pStyle w:val="Default"/>
        <w:rPr>
          <w:b/>
          <w:bCs/>
        </w:rPr>
      </w:pPr>
    </w:p>
    <w:p w:rsidR="00B512F8" w:rsidRPr="00251119" w:rsidRDefault="00B512F8" w:rsidP="00B512F8">
      <w:pPr>
        <w:pStyle w:val="Default"/>
        <w:rPr>
          <w:b/>
          <w:bCs/>
        </w:rPr>
      </w:pPr>
      <w:r w:rsidRPr="00251119">
        <w:rPr>
          <w:b/>
          <w:bCs/>
        </w:rPr>
        <w:t xml:space="preserve">About Biosensors International Group, Ltd </w:t>
      </w:r>
    </w:p>
    <w:p w:rsidR="00B512F8" w:rsidRDefault="00B512F8" w:rsidP="00B512F8">
      <w:pPr>
        <w:pStyle w:val="Default"/>
        <w:jc w:val="both"/>
      </w:pPr>
      <w:r w:rsidRPr="00251119">
        <w:t>Biosensors develops, manufactures and markets innovative medical devices used in interventional cardiology and critical care procedures. Biosensors is well-positioned to emerge as a leader in drug-eluting stents and has developed a pipeline of next-generation products that are set to gain market share from traditional therapies such as conventional drug-eluting stents, bare-metal stents and open-heart surgery. It has two separate drug-eluting stent programs, BioMatrix™ and BioFreedom™, a completely polymer-free drug coated stent.</w:t>
      </w:r>
    </w:p>
    <w:p w:rsidR="00B512F8" w:rsidRPr="00251119" w:rsidRDefault="00B512F8" w:rsidP="00B512F8">
      <w:pPr>
        <w:pStyle w:val="Default"/>
        <w:rPr>
          <w:b/>
          <w:bCs/>
        </w:rPr>
      </w:pPr>
    </w:p>
    <w:p w:rsidR="00B512F8" w:rsidRPr="00251119" w:rsidRDefault="00B512F8" w:rsidP="00B512F8">
      <w:pPr>
        <w:pStyle w:val="Default"/>
      </w:pPr>
      <w:r w:rsidRPr="00251119">
        <w:rPr>
          <w:b/>
          <w:bCs/>
        </w:rPr>
        <w:t xml:space="preserve">About the BioMatrix™ Stent Family </w:t>
      </w:r>
    </w:p>
    <w:p w:rsidR="00B512F8" w:rsidRPr="00647973" w:rsidRDefault="00B512F8" w:rsidP="00B512F8">
      <w:pPr>
        <w:autoSpaceDE w:val="0"/>
        <w:autoSpaceDN w:val="0"/>
        <w:adjustRightInd w:val="0"/>
        <w:rPr>
          <w:rFonts w:ascii="Calibri" w:hAnsi="Calibri" w:cs="Calibri"/>
          <w:color w:val="000000"/>
        </w:rPr>
      </w:pPr>
      <w:r>
        <w:rPr>
          <w:rFonts w:ascii="Calibri" w:hAnsi="Calibri" w:cs="Calibri"/>
          <w:color w:val="000000"/>
        </w:rPr>
        <w:t xml:space="preserve">The </w:t>
      </w:r>
      <w:r w:rsidRPr="00647973">
        <w:rPr>
          <w:rFonts w:ascii="Calibri" w:hAnsi="Calibri" w:cs="Calibri"/>
          <w:color w:val="000000"/>
        </w:rPr>
        <w:t xml:space="preserve">BioMatrix™ </w:t>
      </w:r>
      <w:r>
        <w:rPr>
          <w:rFonts w:ascii="Calibri" w:hAnsi="Calibri" w:cs="Calibri"/>
          <w:color w:val="000000"/>
        </w:rPr>
        <w:t xml:space="preserve">stent system </w:t>
      </w:r>
      <w:r w:rsidRPr="00647973">
        <w:rPr>
          <w:rFonts w:ascii="Calibri" w:hAnsi="Calibri" w:cs="Calibri"/>
          <w:color w:val="000000"/>
        </w:rPr>
        <w:t>offers the unique combination of an innovative anti</w:t>
      </w:r>
      <w:r w:rsidRPr="00B3567F">
        <w:rPr>
          <w:rFonts w:ascii="Calibri" w:hAnsi="Calibri" w:cs="Calibri"/>
          <w:color w:val="000000"/>
        </w:rPr>
        <w:t>‐</w:t>
      </w:r>
      <w:r w:rsidRPr="00647973">
        <w:rPr>
          <w:rFonts w:ascii="Calibri" w:hAnsi="Calibri" w:cs="Calibri"/>
          <w:color w:val="000000"/>
        </w:rPr>
        <w:t xml:space="preserve">restenotic drug, </w:t>
      </w:r>
      <w:r>
        <w:rPr>
          <w:rFonts w:ascii="Calibri" w:hAnsi="Calibri" w:cs="Calibri"/>
          <w:color w:val="000000"/>
        </w:rPr>
        <w:t>BA9</w:t>
      </w:r>
      <w:r w:rsidRPr="0052183E">
        <w:rPr>
          <w:rFonts w:ascii="Calibri" w:hAnsi="Calibri" w:cs="Calibri"/>
          <w:color w:val="000000"/>
          <w:vertAlign w:val="superscript"/>
        </w:rPr>
        <w:t>TM</w:t>
      </w:r>
      <w:r>
        <w:rPr>
          <w:rFonts w:ascii="Calibri" w:hAnsi="Calibri" w:cs="Calibri"/>
          <w:color w:val="000000"/>
        </w:rPr>
        <w:t xml:space="preserve">, combined with a </w:t>
      </w:r>
      <w:r w:rsidRPr="00647973">
        <w:rPr>
          <w:rFonts w:ascii="Calibri" w:hAnsi="Calibri" w:cs="Calibri"/>
          <w:color w:val="000000"/>
        </w:rPr>
        <w:t xml:space="preserve"> biodegradable poly</w:t>
      </w:r>
      <w:r w:rsidRPr="00B3567F">
        <w:rPr>
          <w:rFonts w:ascii="Calibri" w:hAnsi="Calibri" w:cs="Calibri"/>
          <w:color w:val="000000"/>
        </w:rPr>
        <w:t>‐</w:t>
      </w:r>
      <w:r>
        <w:rPr>
          <w:rFonts w:ascii="Calibri" w:hAnsi="Calibri" w:cs="Calibri"/>
          <w:color w:val="000000"/>
        </w:rPr>
        <w:t xml:space="preserve">lactic acid polymer (PLA), abluminally coated onto </w:t>
      </w:r>
      <w:r w:rsidRPr="00647973">
        <w:rPr>
          <w:rFonts w:ascii="Calibri" w:hAnsi="Calibri" w:cs="Calibri"/>
          <w:color w:val="000000"/>
        </w:rPr>
        <w:t xml:space="preserve">an advanced, highly flexible stent designed for enhanced deliverability. </w:t>
      </w:r>
    </w:p>
    <w:p w:rsidR="00B512F8" w:rsidRPr="00251119" w:rsidRDefault="00B512F8" w:rsidP="00B512F8">
      <w:pPr>
        <w:autoSpaceDE w:val="0"/>
        <w:autoSpaceDN w:val="0"/>
        <w:adjustRightInd w:val="0"/>
        <w:rPr>
          <w:rFonts w:ascii="Calibri" w:hAnsi="Calibri"/>
        </w:rPr>
      </w:pPr>
    </w:p>
    <w:p w:rsidR="00B512F8" w:rsidRDefault="00B512F8" w:rsidP="00B512F8">
      <w:pPr>
        <w:autoSpaceDE w:val="0"/>
        <w:autoSpaceDN w:val="0"/>
        <w:adjustRightInd w:val="0"/>
        <w:jc w:val="both"/>
        <w:rPr>
          <w:rFonts w:ascii="Calibri" w:hAnsi="Calibri" w:cs="Arial"/>
          <w:b/>
          <w:bCs/>
        </w:rPr>
      </w:pPr>
      <w:r w:rsidRPr="00251119">
        <w:rPr>
          <w:rFonts w:ascii="Calibri" w:hAnsi="Calibri"/>
        </w:rPr>
        <w:t>Biolimus A9 was designed specifically for use in drug-eluting stent systems. In addition to effective immunosuppressive and anti-inflammatory properties, the drug has a higher lipophilic and hydrophobic profile than other limus analogs, enabling rapid absorption of the drug into the targeted tissue and reduced systemic exposure. Precision automated coating ensures the PLA and drug combination is applied only to the abluminal (outer) surface of the stent. The PLA fully degrades into water and carbon dioxide over a six to nine month period as the drug elutes, ultimately leaving in place a biocompatible stent surface.</w:t>
      </w:r>
    </w:p>
    <w:p w:rsidR="0081264A" w:rsidRPr="00AE572B" w:rsidRDefault="0081264A" w:rsidP="00AE572B">
      <w:pPr>
        <w:autoSpaceDE w:val="0"/>
        <w:autoSpaceDN w:val="0"/>
        <w:adjustRightInd w:val="0"/>
        <w:rPr>
          <w:rFonts w:asciiTheme="minorHAnsi" w:hAnsiTheme="minorHAnsi" w:cs="Calibri"/>
          <w:color w:val="000000"/>
          <w:sz w:val="18"/>
          <w:szCs w:val="18"/>
        </w:rPr>
      </w:pPr>
    </w:p>
    <w:sectPr w:rsidR="0081264A" w:rsidRPr="00AE572B" w:rsidSect="0081264A">
      <w:headerReference w:type="default" r:id="rId9"/>
      <w:pgSz w:w="11909" w:h="16834" w:code="9"/>
      <w:pgMar w:top="1440" w:right="1109"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4D6" w:rsidRDefault="007314D6">
      <w:r>
        <w:separator/>
      </w:r>
    </w:p>
  </w:endnote>
  <w:endnote w:type="continuationSeparator" w:id="1">
    <w:p w:rsidR="007314D6" w:rsidRDefault="007314D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4D6" w:rsidRDefault="007314D6">
      <w:r>
        <w:separator/>
      </w:r>
    </w:p>
  </w:footnote>
  <w:footnote w:type="continuationSeparator" w:id="1">
    <w:p w:rsidR="007314D6" w:rsidRDefault="00731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0E8" w:rsidRDefault="00AE572B" w:rsidP="004B6F1C">
    <w:pPr>
      <w:pStyle w:val="Header"/>
      <w:jc w:val="center"/>
      <w:rPr>
        <w:rFonts w:ascii="Arial" w:hAnsi="Arial" w:cs="Arial"/>
      </w:rPr>
    </w:pPr>
    <w:r>
      <w:rPr>
        <w:rFonts w:ascii="Arial" w:hAnsi="Arial" w:cs="Arial"/>
        <w:noProof/>
      </w:rPr>
      <w:drawing>
        <wp:inline distT="0" distB="0" distL="0" distR="0">
          <wp:extent cx="1952625" cy="1066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E910E8" w:rsidRDefault="004B6F1C">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5B0B"/>
    <w:multiLevelType w:val="hybridMultilevel"/>
    <w:tmpl w:val="4E92B184"/>
    <w:lvl w:ilvl="0" w:tplc="80D26756">
      <w:start w:val="1"/>
      <w:numFmt w:val="bullet"/>
      <w:lvlText w:val="•"/>
      <w:lvlJc w:val="left"/>
      <w:pPr>
        <w:tabs>
          <w:tab w:val="num" w:pos="720"/>
        </w:tabs>
        <w:ind w:left="720" w:hanging="360"/>
      </w:pPr>
      <w:rPr>
        <w:rFonts w:ascii="Arial" w:hAnsi="Arial" w:hint="default"/>
      </w:rPr>
    </w:lvl>
    <w:lvl w:ilvl="1" w:tplc="C9ECFA16">
      <w:start w:val="1459"/>
      <w:numFmt w:val="bullet"/>
      <w:lvlText w:val="–"/>
      <w:lvlJc w:val="left"/>
      <w:pPr>
        <w:tabs>
          <w:tab w:val="num" w:pos="1440"/>
        </w:tabs>
        <w:ind w:left="1440" w:hanging="360"/>
      </w:pPr>
      <w:rPr>
        <w:rFonts w:ascii="Arial" w:hAnsi="Arial" w:hint="default"/>
      </w:rPr>
    </w:lvl>
    <w:lvl w:ilvl="2" w:tplc="BA92EBB6" w:tentative="1">
      <w:start w:val="1"/>
      <w:numFmt w:val="bullet"/>
      <w:lvlText w:val="•"/>
      <w:lvlJc w:val="left"/>
      <w:pPr>
        <w:tabs>
          <w:tab w:val="num" w:pos="2160"/>
        </w:tabs>
        <w:ind w:left="2160" w:hanging="360"/>
      </w:pPr>
      <w:rPr>
        <w:rFonts w:ascii="Arial" w:hAnsi="Arial" w:hint="default"/>
      </w:rPr>
    </w:lvl>
    <w:lvl w:ilvl="3" w:tplc="56B4C416" w:tentative="1">
      <w:start w:val="1"/>
      <w:numFmt w:val="bullet"/>
      <w:lvlText w:val="•"/>
      <w:lvlJc w:val="left"/>
      <w:pPr>
        <w:tabs>
          <w:tab w:val="num" w:pos="2880"/>
        </w:tabs>
        <w:ind w:left="2880" w:hanging="360"/>
      </w:pPr>
      <w:rPr>
        <w:rFonts w:ascii="Arial" w:hAnsi="Arial" w:hint="default"/>
      </w:rPr>
    </w:lvl>
    <w:lvl w:ilvl="4" w:tplc="392821D2" w:tentative="1">
      <w:start w:val="1"/>
      <w:numFmt w:val="bullet"/>
      <w:lvlText w:val="•"/>
      <w:lvlJc w:val="left"/>
      <w:pPr>
        <w:tabs>
          <w:tab w:val="num" w:pos="3600"/>
        </w:tabs>
        <w:ind w:left="3600" w:hanging="360"/>
      </w:pPr>
      <w:rPr>
        <w:rFonts w:ascii="Arial" w:hAnsi="Arial" w:hint="default"/>
      </w:rPr>
    </w:lvl>
    <w:lvl w:ilvl="5" w:tplc="DF46437C" w:tentative="1">
      <w:start w:val="1"/>
      <w:numFmt w:val="bullet"/>
      <w:lvlText w:val="•"/>
      <w:lvlJc w:val="left"/>
      <w:pPr>
        <w:tabs>
          <w:tab w:val="num" w:pos="4320"/>
        </w:tabs>
        <w:ind w:left="4320" w:hanging="360"/>
      </w:pPr>
      <w:rPr>
        <w:rFonts w:ascii="Arial" w:hAnsi="Arial" w:hint="default"/>
      </w:rPr>
    </w:lvl>
    <w:lvl w:ilvl="6" w:tplc="47225C78" w:tentative="1">
      <w:start w:val="1"/>
      <w:numFmt w:val="bullet"/>
      <w:lvlText w:val="•"/>
      <w:lvlJc w:val="left"/>
      <w:pPr>
        <w:tabs>
          <w:tab w:val="num" w:pos="5040"/>
        </w:tabs>
        <w:ind w:left="5040" w:hanging="360"/>
      </w:pPr>
      <w:rPr>
        <w:rFonts w:ascii="Arial" w:hAnsi="Arial" w:hint="default"/>
      </w:rPr>
    </w:lvl>
    <w:lvl w:ilvl="7" w:tplc="FD1491C4" w:tentative="1">
      <w:start w:val="1"/>
      <w:numFmt w:val="bullet"/>
      <w:lvlText w:val="•"/>
      <w:lvlJc w:val="left"/>
      <w:pPr>
        <w:tabs>
          <w:tab w:val="num" w:pos="5760"/>
        </w:tabs>
        <w:ind w:left="5760" w:hanging="360"/>
      </w:pPr>
      <w:rPr>
        <w:rFonts w:ascii="Arial" w:hAnsi="Arial" w:hint="default"/>
      </w:rPr>
    </w:lvl>
    <w:lvl w:ilvl="8" w:tplc="95EC228A" w:tentative="1">
      <w:start w:val="1"/>
      <w:numFmt w:val="bullet"/>
      <w:lvlText w:val="•"/>
      <w:lvlJc w:val="left"/>
      <w:pPr>
        <w:tabs>
          <w:tab w:val="num" w:pos="6480"/>
        </w:tabs>
        <w:ind w:left="6480" w:hanging="360"/>
      </w:pPr>
      <w:rPr>
        <w:rFonts w:ascii="Arial" w:hAnsi="Arial" w:hint="default"/>
      </w:rPr>
    </w:lvl>
  </w:abstractNum>
  <w:abstractNum w:abstractNumId="1">
    <w:nsid w:val="214D3CAB"/>
    <w:multiLevelType w:val="hybridMultilevel"/>
    <w:tmpl w:val="7506F690"/>
    <w:lvl w:ilvl="0" w:tplc="B62C5586">
      <w:start w:val="1"/>
      <w:numFmt w:val="bullet"/>
      <w:lvlText w:val="•"/>
      <w:lvlJc w:val="left"/>
      <w:pPr>
        <w:tabs>
          <w:tab w:val="num" w:pos="360"/>
        </w:tabs>
        <w:ind w:left="360" w:hanging="360"/>
      </w:pPr>
      <w:rPr>
        <w:rFonts w:ascii="Arial" w:hAnsi="Arial" w:hint="default"/>
      </w:rPr>
    </w:lvl>
    <w:lvl w:ilvl="1" w:tplc="69A2C39A">
      <w:start w:val="1"/>
      <w:numFmt w:val="bullet"/>
      <w:lvlText w:val="•"/>
      <w:lvlJc w:val="left"/>
      <w:pPr>
        <w:tabs>
          <w:tab w:val="num" w:pos="1080"/>
        </w:tabs>
        <w:ind w:left="1080" w:hanging="360"/>
      </w:pPr>
      <w:rPr>
        <w:rFonts w:ascii="Arial" w:hAnsi="Arial" w:hint="default"/>
      </w:rPr>
    </w:lvl>
    <w:lvl w:ilvl="2" w:tplc="6FC09A12">
      <w:start w:val="1089"/>
      <w:numFmt w:val="bullet"/>
      <w:lvlText w:val="•"/>
      <w:lvlJc w:val="left"/>
      <w:pPr>
        <w:tabs>
          <w:tab w:val="num" w:pos="1800"/>
        </w:tabs>
        <w:ind w:left="1800" w:hanging="360"/>
      </w:pPr>
      <w:rPr>
        <w:rFonts w:ascii="Times New Roman" w:hAnsi="Times New Roman" w:hint="default"/>
      </w:rPr>
    </w:lvl>
    <w:lvl w:ilvl="3" w:tplc="1D4C6DEC">
      <w:start w:val="1089"/>
      <w:numFmt w:val="bullet"/>
      <w:lvlText w:val="•"/>
      <w:lvlJc w:val="left"/>
      <w:pPr>
        <w:tabs>
          <w:tab w:val="num" w:pos="2520"/>
        </w:tabs>
        <w:ind w:left="2520" w:hanging="360"/>
      </w:pPr>
      <w:rPr>
        <w:rFonts w:ascii="Arial" w:hAnsi="Arial" w:hint="default"/>
      </w:rPr>
    </w:lvl>
    <w:lvl w:ilvl="4" w:tplc="81842BAE" w:tentative="1">
      <w:start w:val="1"/>
      <w:numFmt w:val="bullet"/>
      <w:lvlText w:val="•"/>
      <w:lvlJc w:val="left"/>
      <w:pPr>
        <w:tabs>
          <w:tab w:val="num" w:pos="3240"/>
        </w:tabs>
        <w:ind w:left="3240" w:hanging="360"/>
      </w:pPr>
      <w:rPr>
        <w:rFonts w:ascii="Arial" w:hAnsi="Arial" w:hint="default"/>
      </w:rPr>
    </w:lvl>
    <w:lvl w:ilvl="5" w:tplc="2A5A499C" w:tentative="1">
      <w:start w:val="1"/>
      <w:numFmt w:val="bullet"/>
      <w:lvlText w:val="•"/>
      <w:lvlJc w:val="left"/>
      <w:pPr>
        <w:tabs>
          <w:tab w:val="num" w:pos="3960"/>
        </w:tabs>
        <w:ind w:left="3960" w:hanging="360"/>
      </w:pPr>
      <w:rPr>
        <w:rFonts w:ascii="Arial" w:hAnsi="Arial" w:hint="default"/>
      </w:rPr>
    </w:lvl>
    <w:lvl w:ilvl="6" w:tplc="54A82E54" w:tentative="1">
      <w:start w:val="1"/>
      <w:numFmt w:val="bullet"/>
      <w:lvlText w:val="•"/>
      <w:lvlJc w:val="left"/>
      <w:pPr>
        <w:tabs>
          <w:tab w:val="num" w:pos="4680"/>
        </w:tabs>
        <w:ind w:left="4680" w:hanging="360"/>
      </w:pPr>
      <w:rPr>
        <w:rFonts w:ascii="Arial" w:hAnsi="Arial" w:hint="default"/>
      </w:rPr>
    </w:lvl>
    <w:lvl w:ilvl="7" w:tplc="B594828A" w:tentative="1">
      <w:start w:val="1"/>
      <w:numFmt w:val="bullet"/>
      <w:lvlText w:val="•"/>
      <w:lvlJc w:val="left"/>
      <w:pPr>
        <w:tabs>
          <w:tab w:val="num" w:pos="5400"/>
        </w:tabs>
        <w:ind w:left="5400" w:hanging="360"/>
      </w:pPr>
      <w:rPr>
        <w:rFonts w:ascii="Arial" w:hAnsi="Arial" w:hint="default"/>
      </w:rPr>
    </w:lvl>
    <w:lvl w:ilvl="8" w:tplc="7B4CAF28" w:tentative="1">
      <w:start w:val="1"/>
      <w:numFmt w:val="bullet"/>
      <w:lvlText w:val="•"/>
      <w:lvlJc w:val="left"/>
      <w:pPr>
        <w:tabs>
          <w:tab w:val="num" w:pos="6120"/>
        </w:tabs>
        <w:ind w:left="6120" w:hanging="360"/>
      </w:pPr>
      <w:rPr>
        <w:rFonts w:ascii="Arial" w:hAnsi="Arial" w:hint="default"/>
      </w:rPr>
    </w:lvl>
  </w:abstractNum>
  <w:abstractNum w:abstractNumId="2">
    <w:nsid w:val="21B85258"/>
    <w:multiLevelType w:val="hybridMultilevel"/>
    <w:tmpl w:val="A54A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E7EEB"/>
    <w:multiLevelType w:val="hybridMultilevel"/>
    <w:tmpl w:val="80C2F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D6CB9"/>
    <w:multiLevelType w:val="hybridMultilevel"/>
    <w:tmpl w:val="A9940C42"/>
    <w:lvl w:ilvl="0" w:tplc="8DD49EF8">
      <w:start w:val="1"/>
      <w:numFmt w:val="bullet"/>
      <w:lvlText w:val="•"/>
      <w:lvlJc w:val="left"/>
      <w:pPr>
        <w:tabs>
          <w:tab w:val="num" w:pos="720"/>
        </w:tabs>
        <w:ind w:left="720" w:hanging="360"/>
      </w:pPr>
      <w:rPr>
        <w:rFonts w:ascii="Arial" w:hAnsi="Arial" w:hint="default"/>
      </w:rPr>
    </w:lvl>
    <w:lvl w:ilvl="1" w:tplc="3DBE23BC">
      <w:start w:val="1"/>
      <w:numFmt w:val="bullet"/>
      <w:lvlText w:val="•"/>
      <w:lvlJc w:val="left"/>
      <w:pPr>
        <w:tabs>
          <w:tab w:val="num" w:pos="1440"/>
        </w:tabs>
        <w:ind w:left="1440" w:hanging="360"/>
      </w:pPr>
      <w:rPr>
        <w:rFonts w:ascii="Arial" w:hAnsi="Arial" w:hint="default"/>
      </w:rPr>
    </w:lvl>
    <w:lvl w:ilvl="2" w:tplc="5B1CD37A">
      <w:start w:val="240"/>
      <w:numFmt w:val="bullet"/>
      <w:lvlText w:val="•"/>
      <w:lvlJc w:val="left"/>
      <w:pPr>
        <w:tabs>
          <w:tab w:val="num" w:pos="2160"/>
        </w:tabs>
        <w:ind w:left="2160" w:hanging="360"/>
      </w:pPr>
      <w:rPr>
        <w:rFonts w:ascii="Times New Roman" w:hAnsi="Times New Roman" w:hint="default"/>
      </w:rPr>
    </w:lvl>
    <w:lvl w:ilvl="3" w:tplc="77486756" w:tentative="1">
      <w:start w:val="1"/>
      <w:numFmt w:val="bullet"/>
      <w:lvlText w:val="•"/>
      <w:lvlJc w:val="left"/>
      <w:pPr>
        <w:tabs>
          <w:tab w:val="num" w:pos="2880"/>
        </w:tabs>
        <w:ind w:left="2880" w:hanging="360"/>
      </w:pPr>
      <w:rPr>
        <w:rFonts w:ascii="Arial" w:hAnsi="Arial" w:hint="default"/>
      </w:rPr>
    </w:lvl>
    <w:lvl w:ilvl="4" w:tplc="E5905096" w:tentative="1">
      <w:start w:val="1"/>
      <w:numFmt w:val="bullet"/>
      <w:lvlText w:val="•"/>
      <w:lvlJc w:val="left"/>
      <w:pPr>
        <w:tabs>
          <w:tab w:val="num" w:pos="3600"/>
        </w:tabs>
        <w:ind w:left="3600" w:hanging="360"/>
      </w:pPr>
      <w:rPr>
        <w:rFonts w:ascii="Arial" w:hAnsi="Arial" w:hint="default"/>
      </w:rPr>
    </w:lvl>
    <w:lvl w:ilvl="5" w:tplc="FCE482F6" w:tentative="1">
      <w:start w:val="1"/>
      <w:numFmt w:val="bullet"/>
      <w:lvlText w:val="•"/>
      <w:lvlJc w:val="left"/>
      <w:pPr>
        <w:tabs>
          <w:tab w:val="num" w:pos="4320"/>
        </w:tabs>
        <w:ind w:left="4320" w:hanging="360"/>
      </w:pPr>
      <w:rPr>
        <w:rFonts w:ascii="Arial" w:hAnsi="Arial" w:hint="default"/>
      </w:rPr>
    </w:lvl>
    <w:lvl w:ilvl="6" w:tplc="9AA2E124" w:tentative="1">
      <w:start w:val="1"/>
      <w:numFmt w:val="bullet"/>
      <w:lvlText w:val="•"/>
      <w:lvlJc w:val="left"/>
      <w:pPr>
        <w:tabs>
          <w:tab w:val="num" w:pos="5040"/>
        </w:tabs>
        <w:ind w:left="5040" w:hanging="360"/>
      </w:pPr>
      <w:rPr>
        <w:rFonts w:ascii="Arial" w:hAnsi="Arial" w:hint="default"/>
      </w:rPr>
    </w:lvl>
    <w:lvl w:ilvl="7" w:tplc="9C54C9B8" w:tentative="1">
      <w:start w:val="1"/>
      <w:numFmt w:val="bullet"/>
      <w:lvlText w:val="•"/>
      <w:lvlJc w:val="left"/>
      <w:pPr>
        <w:tabs>
          <w:tab w:val="num" w:pos="5760"/>
        </w:tabs>
        <w:ind w:left="5760" w:hanging="360"/>
      </w:pPr>
      <w:rPr>
        <w:rFonts w:ascii="Arial" w:hAnsi="Arial" w:hint="default"/>
      </w:rPr>
    </w:lvl>
    <w:lvl w:ilvl="8" w:tplc="28967364" w:tentative="1">
      <w:start w:val="1"/>
      <w:numFmt w:val="bullet"/>
      <w:lvlText w:val="•"/>
      <w:lvlJc w:val="left"/>
      <w:pPr>
        <w:tabs>
          <w:tab w:val="num" w:pos="6480"/>
        </w:tabs>
        <w:ind w:left="6480" w:hanging="360"/>
      </w:pPr>
      <w:rPr>
        <w:rFonts w:ascii="Arial" w:hAnsi="Arial" w:hint="default"/>
      </w:rPr>
    </w:lvl>
  </w:abstractNum>
  <w:abstractNum w:abstractNumId="5">
    <w:nsid w:val="66A5165D"/>
    <w:multiLevelType w:val="hybridMultilevel"/>
    <w:tmpl w:val="667E9088"/>
    <w:lvl w:ilvl="0" w:tplc="30F46A56">
      <w:start w:val="1"/>
      <w:numFmt w:val="bullet"/>
      <w:lvlText w:val="•"/>
      <w:lvlJc w:val="left"/>
      <w:pPr>
        <w:tabs>
          <w:tab w:val="num" w:pos="720"/>
        </w:tabs>
        <w:ind w:left="720" w:hanging="360"/>
      </w:pPr>
      <w:rPr>
        <w:rFonts w:ascii="Arial" w:hAnsi="Arial" w:hint="default"/>
      </w:rPr>
    </w:lvl>
    <w:lvl w:ilvl="1" w:tplc="E7B0DAF8">
      <w:start w:val="1"/>
      <w:numFmt w:val="bullet"/>
      <w:lvlText w:val="•"/>
      <w:lvlJc w:val="left"/>
      <w:pPr>
        <w:tabs>
          <w:tab w:val="num" w:pos="1440"/>
        </w:tabs>
        <w:ind w:left="1440" w:hanging="360"/>
      </w:pPr>
      <w:rPr>
        <w:rFonts w:ascii="Arial" w:hAnsi="Arial" w:hint="default"/>
      </w:rPr>
    </w:lvl>
    <w:lvl w:ilvl="2" w:tplc="083AF782" w:tentative="1">
      <w:start w:val="1"/>
      <w:numFmt w:val="bullet"/>
      <w:lvlText w:val="•"/>
      <w:lvlJc w:val="left"/>
      <w:pPr>
        <w:tabs>
          <w:tab w:val="num" w:pos="2160"/>
        </w:tabs>
        <w:ind w:left="2160" w:hanging="360"/>
      </w:pPr>
      <w:rPr>
        <w:rFonts w:ascii="Arial" w:hAnsi="Arial" w:hint="default"/>
      </w:rPr>
    </w:lvl>
    <w:lvl w:ilvl="3" w:tplc="D54EB5B6" w:tentative="1">
      <w:start w:val="1"/>
      <w:numFmt w:val="bullet"/>
      <w:lvlText w:val="•"/>
      <w:lvlJc w:val="left"/>
      <w:pPr>
        <w:tabs>
          <w:tab w:val="num" w:pos="2880"/>
        </w:tabs>
        <w:ind w:left="2880" w:hanging="360"/>
      </w:pPr>
      <w:rPr>
        <w:rFonts w:ascii="Arial" w:hAnsi="Arial" w:hint="default"/>
      </w:rPr>
    </w:lvl>
    <w:lvl w:ilvl="4" w:tplc="8E6EB08C" w:tentative="1">
      <w:start w:val="1"/>
      <w:numFmt w:val="bullet"/>
      <w:lvlText w:val="•"/>
      <w:lvlJc w:val="left"/>
      <w:pPr>
        <w:tabs>
          <w:tab w:val="num" w:pos="3600"/>
        </w:tabs>
        <w:ind w:left="3600" w:hanging="360"/>
      </w:pPr>
      <w:rPr>
        <w:rFonts w:ascii="Arial" w:hAnsi="Arial" w:hint="default"/>
      </w:rPr>
    </w:lvl>
    <w:lvl w:ilvl="5" w:tplc="7A6AAED2" w:tentative="1">
      <w:start w:val="1"/>
      <w:numFmt w:val="bullet"/>
      <w:lvlText w:val="•"/>
      <w:lvlJc w:val="left"/>
      <w:pPr>
        <w:tabs>
          <w:tab w:val="num" w:pos="4320"/>
        </w:tabs>
        <w:ind w:left="4320" w:hanging="360"/>
      </w:pPr>
      <w:rPr>
        <w:rFonts w:ascii="Arial" w:hAnsi="Arial" w:hint="default"/>
      </w:rPr>
    </w:lvl>
    <w:lvl w:ilvl="6" w:tplc="224C44A6" w:tentative="1">
      <w:start w:val="1"/>
      <w:numFmt w:val="bullet"/>
      <w:lvlText w:val="•"/>
      <w:lvlJc w:val="left"/>
      <w:pPr>
        <w:tabs>
          <w:tab w:val="num" w:pos="5040"/>
        </w:tabs>
        <w:ind w:left="5040" w:hanging="360"/>
      </w:pPr>
      <w:rPr>
        <w:rFonts w:ascii="Arial" w:hAnsi="Arial" w:hint="default"/>
      </w:rPr>
    </w:lvl>
    <w:lvl w:ilvl="7" w:tplc="211C935E" w:tentative="1">
      <w:start w:val="1"/>
      <w:numFmt w:val="bullet"/>
      <w:lvlText w:val="•"/>
      <w:lvlJc w:val="left"/>
      <w:pPr>
        <w:tabs>
          <w:tab w:val="num" w:pos="5760"/>
        </w:tabs>
        <w:ind w:left="5760" w:hanging="360"/>
      </w:pPr>
      <w:rPr>
        <w:rFonts w:ascii="Arial" w:hAnsi="Arial" w:hint="default"/>
      </w:rPr>
    </w:lvl>
    <w:lvl w:ilvl="8" w:tplc="1B307BC2" w:tentative="1">
      <w:start w:val="1"/>
      <w:numFmt w:val="bullet"/>
      <w:lvlText w:val="•"/>
      <w:lvlJc w:val="left"/>
      <w:pPr>
        <w:tabs>
          <w:tab w:val="num" w:pos="6480"/>
        </w:tabs>
        <w:ind w:left="6480" w:hanging="360"/>
      </w:pPr>
      <w:rPr>
        <w:rFonts w:ascii="Arial" w:hAnsi="Arial" w:hint="default"/>
      </w:rPr>
    </w:lvl>
  </w:abstractNum>
  <w:abstractNum w:abstractNumId="6">
    <w:nsid w:val="765D217D"/>
    <w:multiLevelType w:val="hybridMultilevel"/>
    <w:tmpl w:val="045C88AE"/>
    <w:lvl w:ilvl="0" w:tplc="0FE62976">
      <w:start w:val="1"/>
      <w:numFmt w:val="bullet"/>
      <w:lvlText w:val="•"/>
      <w:lvlJc w:val="left"/>
      <w:pPr>
        <w:tabs>
          <w:tab w:val="num" w:pos="720"/>
        </w:tabs>
        <w:ind w:left="720" w:hanging="360"/>
      </w:pPr>
      <w:rPr>
        <w:rFonts w:ascii="Arial" w:hAnsi="Arial" w:hint="default"/>
      </w:rPr>
    </w:lvl>
    <w:lvl w:ilvl="1" w:tplc="FA3EB8AA">
      <w:start w:val="1459"/>
      <w:numFmt w:val="bullet"/>
      <w:lvlText w:val="–"/>
      <w:lvlJc w:val="left"/>
      <w:pPr>
        <w:tabs>
          <w:tab w:val="num" w:pos="1440"/>
        </w:tabs>
        <w:ind w:left="1440" w:hanging="360"/>
      </w:pPr>
      <w:rPr>
        <w:rFonts w:ascii="Arial" w:hAnsi="Arial" w:hint="default"/>
      </w:rPr>
    </w:lvl>
    <w:lvl w:ilvl="2" w:tplc="D5E678BC" w:tentative="1">
      <w:start w:val="1"/>
      <w:numFmt w:val="bullet"/>
      <w:lvlText w:val="•"/>
      <w:lvlJc w:val="left"/>
      <w:pPr>
        <w:tabs>
          <w:tab w:val="num" w:pos="2160"/>
        </w:tabs>
        <w:ind w:left="2160" w:hanging="360"/>
      </w:pPr>
      <w:rPr>
        <w:rFonts w:ascii="Arial" w:hAnsi="Arial" w:hint="default"/>
      </w:rPr>
    </w:lvl>
    <w:lvl w:ilvl="3" w:tplc="21787ED2" w:tentative="1">
      <w:start w:val="1"/>
      <w:numFmt w:val="bullet"/>
      <w:lvlText w:val="•"/>
      <w:lvlJc w:val="left"/>
      <w:pPr>
        <w:tabs>
          <w:tab w:val="num" w:pos="2880"/>
        </w:tabs>
        <w:ind w:left="2880" w:hanging="360"/>
      </w:pPr>
      <w:rPr>
        <w:rFonts w:ascii="Arial" w:hAnsi="Arial" w:hint="default"/>
      </w:rPr>
    </w:lvl>
    <w:lvl w:ilvl="4" w:tplc="C95EC5B8" w:tentative="1">
      <w:start w:val="1"/>
      <w:numFmt w:val="bullet"/>
      <w:lvlText w:val="•"/>
      <w:lvlJc w:val="left"/>
      <w:pPr>
        <w:tabs>
          <w:tab w:val="num" w:pos="3600"/>
        </w:tabs>
        <w:ind w:left="3600" w:hanging="360"/>
      </w:pPr>
      <w:rPr>
        <w:rFonts w:ascii="Arial" w:hAnsi="Arial" w:hint="default"/>
      </w:rPr>
    </w:lvl>
    <w:lvl w:ilvl="5" w:tplc="ADB205D8" w:tentative="1">
      <w:start w:val="1"/>
      <w:numFmt w:val="bullet"/>
      <w:lvlText w:val="•"/>
      <w:lvlJc w:val="left"/>
      <w:pPr>
        <w:tabs>
          <w:tab w:val="num" w:pos="4320"/>
        </w:tabs>
        <w:ind w:left="4320" w:hanging="360"/>
      </w:pPr>
      <w:rPr>
        <w:rFonts w:ascii="Arial" w:hAnsi="Arial" w:hint="default"/>
      </w:rPr>
    </w:lvl>
    <w:lvl w:ilvl="6" w:tplc="A1248C06" w:tentative="1">
      <w:start w:val="1"/>
      <w:numFmt w:val="bullet"/>
      <w:lvlText w:val="•"/>
      <w:lvlJc w:val="left"/>
      <w:pPr>
        <w:tabs>
          <w:tab w:val="num" w:pos="5040"/>
        </w:tabs>
        <w:ind w:left="5040" w:hanging="360"/>
      </w:pPr>
      <w:rPr>
        <w:rFonts w:ascii="Arial" w:hAnsi="Arial" w:hint="default"/>
      </w:rPr>
    </w:lvl>
    <w:lvl w:ilvl="7" w:tplc="6E9E1B42" w:tentative="1">
      <w:start w:val="1"/>
      <w:numFmt w:val="bullet"/>
      <w:lvlText w:val="•"/>
      <w:lvlJc w:val="left"/>
      <w:pPr>
        <w:tabs>
          <w:tab w:val="num" w:pos="5760"/>
        </w:tabs>
        <w:ind w:left="5760" w:hanging="360"/>
      </w:pPr>
      <w:rPr>
        <w:rFonts w:ascii="Arial" w:hAnsi="Arial" w:hint="default"/>
      </w:rPr>
    </w:lvl>
    <w:lvl w:ilvl="8" w:tplc="F1527E08"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6"/>
  </w:num>
  <w:num w:numId="4">
    <w:abstractNumId w:val="4"/>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7170"/>
  </w:hdrShapeDefaults>
  <w:footnotePr>
    <w:footnote w:id="0"/>
    <w:footnote w:id="1"/>
  </w:footnotePr>
  <w:endnotePr>
    <w:endnote w:id="0"/>
    <w:endnote w:id="1"/>
  </w:endnotePr>
  <w:compat/>
  <w:rsids>
    <w:rsidRoot w:val="00BF5FD3"/>
    <w:rsid w:val="00030672"/>
    <w:rsid w:val="00167290"/>
    <w:rsid w:val="001B2ACB"/>
    <w:rsid w:val="00257FD1"/>
    <w:rsid w:val="00297366"/>
    <w:rsid w:val="002D2687"/>
    <w:rsid w:val="003477A4"/>
    <w:rsid w:val="0042217A"/>
    <w:rsid w:val="00464079"/>
    <w:rsid w:val="004B6F1C"/>
    <w:rsid w:val="004D3791"/>
    <w:rsid w:val="00584CE3"/>
    <w:rsid w:val="005A3AEE"/>
    <w:rsid w:val="005C0152"/>
    <w:rsid w:val="00616EA7"/>
    <w:rsid w:val="007314D6"/>
    <w:rsid w:val="007C1513"/>
    <w:rsid w:val="0081264A"/>
    <w:rsid w:val="00852967"/>
    <w:rsid w:val="0088651C"/>
    <w:rsid w:val="0092259B"/>
    <w:rsid w:val="009918D8"/>
    <w:rsid w:val="009A752B"/>
    <w:rsid w:val="009C6BB0"/>
    <w:rsid w:val="00A63654"/>
    <w:rsid w:val="00AA7582"/>
    <w:rsid w:val="00AC22C2"/>
    <w:rsid w:val="00AC297E"/>
    <w:rsid w:val="00AE572B"/>
    <w:rsid w:val="00B16A3E"/>
    <w:rsid w:val="00B512F8"/>
    <w:rsid w:val="00BF5FD3"/>
    <w:rsid w:val="00C366F5"/>
    <w:rsid w:val="00CE4A67"/>
    <w:rsid w:val="00DA11C2"/>
    <w:rsid w:val="00DA5452"/>
    <w:rsid w:val="00DF3C7C"/>
    <w:rsid w:val="00E910E8"/>
    <w:rsid w:val="00EB7540"/>
    <w:rsid w:val="00F00A40"/>
    <w:rsid w:val="00FF4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26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2687"/>
    <w:rPr>
      <w:rFonts w:ascii="Tahoma" w:hAnsi="Tahoma" w:cs="Tahoma"/>
      <w:sz w:val="16"/>
      <w:szCs w:val="16"/>
    </w:rPr>
  </w:style>
  <w:style w:type="character" w:customStyle="1" w:styleId="BalloonTextChar">
    <w:name w:val="Balloon Text Char"/>
    <w:basedOn w:val="DefaultParagraphFont"/>
    <w:semiHidden/>
    <w:locked/>
    <w:rsid w:val="002D2687"/>
    <w:rPr>
      <w:rFonts w:cs="Times New Roman"/>
      <w:sz w:val="2"/>
    </w:rPr>
  </w:style>
  <w:style w:type="character" w:styleId="CommentReference">
    <w:name w:val="annotation reference"/>
    <w:basedOn w:val="DefaultParagraphFont"/>
    <w:semiHidden/>
    <w:rsid w:val="002D2687"/>
    <w:rPr>
      <w:rFonts w:cs="Times New Roman"/>
      <w:sz w:val="16"/>
      <w:szCs w:val="16"/>
    </w:rPr>
  </w:style>
  <w:style w:type="paragraph" w:styleId="CommentText">
    <w:name w:val="annotation text"/>
    <w:basedOn w:val="Normal"/>
    <w:semiHidden/>
    <w:rsid w:val="002D2687"/>
    <w:rPr>
      <w:sz w:val="20"/>
      <w:szCs w:val="20"/>
    </w:rPr>
  </w:style>
  <w:style w:type="character" w:customStyle="1" w:styleId="CommentTextChar">
    <w:name w:val="Comment Text Char"/>
    <w:basedOn w:val="DefaultParagraphFont"/>
    <w:semiHidden/>
    <w:locked/>
    <w:rsid w:val="002D2687"/>
    <w:rPr>
      <w:rFonts w:cs="Times New Roman"/>
    </w:rPr>
  </w:style>
  <w:style w:type="paragraph" w:styleId="CommentSubject">
    <w:name w:val="annotation subject"/>
    <w:basedOn w:val="CommentText"/>
    <w:next w:val="CommentText"/>
    <w:semiHidden/>
    <w:rsid w:val="002D2687"/>
    <w:rPr>
      <w:b/>
      <w:bCs/>
    </w:rPr>
  </w:style>
  <w:style w:type="character" w:customStyle="1" w:styleId="CommentSubjectChar">
    <w:name w:val="Comment Subject Char"/>
    <w:basedOn w:val="CommentTextChar"/>
    <w:semiHidden/>
    <w:locked/>
    <w:rsid w:val="002D2687"/>
    <w:rPr>
      <w:b/>
      <w:bCs/>
    </w:rPr>
  </w:style>
  <w:style w:type="character" w:styleId="Hyperlink">
    <w:name w:val="Hyperlink"/>
    <w:basedOn w:val="DefaultParagraphFont"/>
    <w:rsid w:val="002D2687"/>
    <w:rPr>
      <w:rFonts w:cs="Times New Roman"/>
      <w:color w:val="0000FF"/>
      <w:u w:val="single"/>
    </w:rPr>
  </w:style>
  <w:style w:type="character" w:customStyle="1" w:styleId="bodytext1">
    <w:name w:val="bodytext1"/>
    <w:basedOn w:val="DefaultParagraphFont"/>
    <w:rsid w:val="002D2687"/>
    <w:rPr>
      <w:rFonts w:ascii="Verdana" w:hAnsi="Verdana" w:cs="Arial"/>
      <w:color w:val="000000"/>
      <w:sz w:val="18"/>
      <w:szCs w:val="18"/>
    </w:rPr>
  </w:style>
  <w:style w:type="paragraph" w:styleId="Header">
    <w:name w:val="header"/>
    <w:basedOn w:val="Normal"/>
    <w:rsid w:val="002D2687"/>
    <w:pPr>
      <w:tabs>
        <w:tab w:val="center" w:pos="4320"/>
        <w:tab w:val="right" w:pos="8640"/>
      </w:tabs>
    </w:pPr>
  </w:style>
  <w:style w:type="character" w:customStyle="1" w:styleId="HeaderChar">
    <w:name w:val="Header Char"/>
    <w:basedOn w:val="DefaultParagraphFont"/>
    <w:semiHidden/>
    <w:locked/>
    <w:rsid w:val="002D2687"/>
    <w:rPr>
      <w:rFonts w:cs="Times New Roman"/>
      <w:sz w:val="24"/>
      <w:szCs w:val="24"/>
    </w:rPr>
  </w:style>
  <w:style w:type="paragraph" w:styleId="Footer">
    <w:name w:val="footer"/>
    <w:basedOn w:val="Normal"/>
    <w:rsid w:val="002D2687"/>
    <w:pPr>
      <w:tabs>
        <w:tab w:val="center" w:pos="4320"/>
        <w:tab w:val="right" w:pos="8640"/>
      </w:tabs>
    </w:pPr>
  </w:style>
  <w:style w:type="character" w:customStyle="1" w:styleId="FooterChar">
    <w:name w:val="Footer Char"/>
    <w:basedOn w:val="DefaultParagraphFont"/>
    <w:semiHidden/>
    <w:locked/>
    <w:rsid w:val="002D2687"/>
    <w:rPr>
      <w:rFonts w:cs="Times New Roman"/>
      <w:sz w:val="24"/>
      <w:szCs w:val="24"/>
    </w:rPr>
  </w:style>
  <w:style w:type="paragraph" w:styleId="BodyText">
    <w:name w:val="Body Text"/>
    <w:basedOn w:val="Normal"/>
    <w:rsid w:val="002D2687"/>
    <w:pPr>
      <w:spacing w:line="480" w:lineRule="auto"/>
      <w:jc w:val="both"/>
    </w:pPr>
    <w:rPr>
      <w:lang w:eastAsia="es-ES"/>
    </w:rPr>
  </w:style>
  <w:style w:type="character" w:customStyle="1" w:styleId="BodyTextChar">
    <w:name w:val="Body Text Char"/>
    <w:basedOn w:val="DefaultParagraphFont"/>
    <w:semiHidden/>
    <w:locked/>
    <w:rsid w:val="002D2687"/>
    <w:rPr>
      <w:rFonts w:cs="Times New Roman"/>
      <w:sz w:val="24"/>
      <w:szCs w:val="24"/>
    </w:rPr>
  </w:style>
  <w:style w:type="paragraph" w:styleId="Revision">
    <w:name w:val="Revision"/>
    <w:hidden/>
    <w:uiPriority w:val="99"/>
    <w:semiHidden/>
    <w:rsid w:val="00A97B27"/>
    <w:rPr>
      <w:sz w:val="24"/>
      <w:szCs w:val="24"/>
    </w:rPr>
  </w:style>
  <w:style w:type="paragraph" w:styleId="DocumentMap">
    <w:name w:val="Document Map"/>
    <w:basedOn w:val="Normal"/>
    <w:semiHidden/>
    <w:rsid w:val="0016081E"/>
    <w:pPr>
      <w:shd w:val="clear" w:color="auto" w:fill="000080"/>
    </w:pPr>
    <w:rPr>
      <w:rFonts w:ascii="Tahoma" w:hAnsi="Tahoma" w:cs="Tahoma"/>
      <w:sz w:val="20"/>
      <w:szCs w:val="20"/>
    </w:rPr>
  </w:style>
  <w:style w:type="paragraph" w:styleId="NormalWeb">
    <w:name w:val="Normal (Web)"/>
    <w:basedOn w:val="Normal"/>
    <w:uiPriority w:val="99"/>
    <w:unhideWhenUsed/>
    <w:rsid w:val="00C404CB"/>
    <w:pPr>
      <w:spacing w:before="100" w:beforeAutospacing="1" w:after="100" w:afterAutospacing="1"/>
    </w:pPr>
  </w:style>
  <w:style w:type="paragraph" w:customStyle="1" w:styleId="Default">
    <w:name w:val="Default"/>
    <w:rsid w:val="00616EA7"/>
    <w:pPr>
      <w:autoSpaceDE w:val="0"/>
      <w:autoSpaceDN w:val="0"/>
      <w:adjustRightInd w:val="0"/>
    </w:pPr>
    <w:rPr>
      <w:rFonts w:ascii="Calibri" w:eastAsia="Batang" w:hAnsi="Calibri" w:cs="Calibri"/>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divs>
    <w:div w:id="329064584">
      <w:bodyDiv w:val="1"/>
      <w:marLeft w:val="0"/>
      <w:marRight w:val="0"/>
      <w:marTop w:val="0"/>
      <w:marBottom w:val="0"/>
      <w:divBdr>
        <w:top w:val="none" w:sz="0" w:space="0" w:color="auto"/>
        <w:left w:val="none" w:sz="0" w:space="0" w:color="auto"/>
        <w:bottom w:val="none" w:sz="0" w:space="0" w:color="auto"/>
        <w:right w:val="none" w:sz="0" w:space="0" w:color="auto"/>
      </w:divBdr>
      <w:divsChild>
        <w:div w:id="410539641">
          <w:marLeft w:val="0"/>
          <w:marRight w:val="0"/>
          <w:marTop w:val="0"/>
          <w:marBottom w:val="0"/>
          <w:divBdr>
            <w:top w:val="none" w:sz="0" w:space="0" w:color="auto"/>
            <w:left w:val="none" w:sz="0" w:space="0" w:color="auto"/>
            <w:bottom w:val="none" w:sz="0" w:space="0" w:color="auto"/>
            <w:right w:val="none" w:sz="0" w:space="0" w:color="auto"/>
          </w:divBdr>
        </w:div>
      </w:divsChild>
    </w:div>
    <w:div w:id="557057815">
      <w:bodyDiv w:val="1"/>
      <w:marLeft w:val="0"/>
      <w:marRight w:val="0"/>
      <w:marTop w:val="0"/>
      <w:marBottom w:val="0"/>
      <w:divBdr>
        <w:top w:val="none" w:sz="0" w:space="0" w:color="auto"/>
        <w:left w:val="none" w:sz="0" w:space="0" w:color="auto"/>
        <w:bottom w:val="none" w:sz="0" w:space="0" w:color="auto"/>
        <w:right w:val="none" w:sz="0" w:space="0" w:color="auto"/>
      </w:divBdr>
      <w:divsChild>
        <w:div w:id="374433650">
          <w:marLeft w:val="994"/>
          <w:marRight w:val="0"/>
          <w:marTop w:val="125"/>
          <w:marBottom w:val="0"/>
          <w:divBdr>
            <w:top w:val="none" w:sz="0" w:space="0" w:color="auto"/>
            <w:left w:val="none" w:sz="0" w:space="0" w:color="auto"/>
            <w:bottom w:val="none" w:sz="0" w:space="0" w:color="auto"/>
            <w:right w:val="none" w:sz="0" w:space="0" w:color="auto"/>
          </w:divBdr>
        </w:div>
        <w:div w:id="629366352">
          <w:marLeft w:val="1800"/>
          <w:marRight w:val="0"/>
          <w:marTop w:val="115"/>
          <w:marBottom w:val="0"/>
          <w:divBdr>
            <w:top w:val="none" w:sz="0" w:space="0" w:color="auto"/>
            <w:left w:val="none" w:sz="0" w:space="0" w:color="auto"/>
            <w:bottom w:val="none" w:sz="0" w:space="0" w:color="auto"/>
            <w:right w:val="none" w:sz="0" w:space="0" w:color="auto"/>
          </w:divBdr>
        </w:div>
        <w:div w:id="867063015">
          <w:marLeft w:val="994"/>
          <w:marRight w:val="0"/>
          <w:marTop w:val="125"/>
          <w:marBottom w:val="0"/>
          <w:divBdr>
            <w:top w:val="none" w:sz="0" w:space="0" w:color="auto"/>
            <w:left w:val="none" w:sz="0" w:space="0" w:color="auto"/>
            <w:bottom w:val="none" w:sz="0" w:space="0" w:color="auto"/>
            <w:right w:val="none" w:sz="0" w:space="0" w:color="auto"/>
          </w:divBdr>
        </w:div>
        <w:div w:id="1358196735">
          <w:marLeft w:val="1800"/>
          <w:marRight w:val="0"/>
          <w:marTop w:val="115"/>
          <w:marBottom w:val="0"/>
          <w:divBdr>
            <w:top w:val="none" w:sz="0" w:space="0" w:color="auto"/>
            <w:left w:val="none" w:sz="0" w:space="0" w:color="auto"/>
            <w:bottom w:val="none" w:sz="0" w:space="0" w:color="auto"/>
            <w:right w:val="none" w:sz="0" w:space="0" w:color="auto"/>
          </w:divBdr>
        </w:div>
        <w:div w:id="1421442541">
          <w:marLeft w:val="1800"/>
          <w:marRight w:val="0"/>
          <w:marTop w:val="115"/>
          <w:marBottom w:val="0"/>
          <w:divBdr>
            <w:top w:val="none" w:sz="0" w:space="0" w:color="auto"/>
            <w:left w:val="none" w:sz="0" w:space="0" w:color="auto"/>
            <w:bottom w:val="none" w:sz="0" w:space="0" w:color="auto"/>
            <w:right w:val="none" w:sz="0" w:space="0" w:color="auto"/>
          </w:divBdr>
        </w:div>
      </w:divsChild>
    </w:div>
    <w:div w:id="1035696753">
      <w:bodyDiv w:val="1"/>
      <w:marLeft w:val="0"/>
      <w:marRight w:val="0"/>
      <w:marTop w:val="0"/>
      <w:marBottom w:val="0"/>
      <w:divBdr>
        <w:top w:val="none" w:sz="0" w:space="0" w:color="auto"/>
        <w:left w:val="none" w:sz="0" w:space="0" w:color="auto"/>
        <w:bottom w:val="none" w:sz="0" w:space="0" w:color="auto"/>
        <w:right w:val="none" w:sz="0" w:space="0" w:color="auto"/>
      </w:divBdr>
      <w:divsChild>
        <w:div w:id="413357011">
          <w:marLeft w:val="994"/>
          <w:marRight w:val="0"/>
          <w:marTop w:val="115"/>
          <w:marBottom w:val="0"/>
          <w:divBdr>
            <w:top w:val="none" w:sz="0" w:space="0" w:color="auto"/>
            <w:left w:val="none" w:sz="0" w:space="0" w:color="auto"/>
            <w:bottom w:val="none" w:sz="0" w:space="0" w:color="auto"/>
            <w:right w:val="none" w:sz="0" w:space="0" w:color="auto"/>
          </w:divBdr>
        </w:div>
        <w:div w:id="597956002">
          <w:marLeft w:val="994"/>
          <w:marRight w:val="0"/>
          <w:marTop w:val="115"/>
          <w:marBottom w:val="0"/>
          <w:divBdr>
            <w:top w:val="none" w:sz="0" w:space="0" w:color="auto"/>
            <w:left w:val="none" w:sz="0" w:space="0" w:color="auto"/>
            <w:bottom w:val="none" w:sz="0" w:space="0" w:color="auto"/>
            <w:right w:val="none" w:sz="0" w:space="0" w:color="auto"/>
          </w:divBdr>
        </w:div>
        <w:div w:id="1428844668">
          <w:marLeft w:val="1800"/>
          <w:marRight w:val="0"/>
          <w:marTop w:val="96"/>
          <w:marBottom w:val="0"/>
          <w:divBdr>
            <w:top w:val="none" w:sz="0" w:space="0" w:color="auto"/>
            <w:left w:val="none" w:sz="0" w:space="0" w:color="auto"/>
            <w:bottom w:val="none" w:sz="0" w:space="0" w:color="auto"/>
            <w:right w:val="none" w:sz="0" w:space="0" w:color="auto"/>
          </w:divBdr>
        </w:div>
        <w:div w:id="1596405503">
          <w:marLeft w:val="2520"/>
          <w:marRight w:val="0"/>
          <w:marTop w:val="86"/>
          <w:marBottom w:val="0"/>
          <w:divBdr>
            <w:top w:val="none" w:sz="0" w:space="0" w:color="auto"/>
            <w:left w:val="none" w:sz="0" w:space="0" w:color="auto"/>
            <w:bottom w:val="none" w:sz="0" w:space="0" w:color="auto"/>
            <w:right w:val="none" w:sz="0" w:space="0" w:color="auto"/>
          </w:divBdr>
        </w:div>
        <w:div w:id="1696694039">
          <w:marLeft w:val="994"/>
          <w:marRight w:val="0"/>
          <w:marTop w:val="106"/>
          <w:marBottom w:val="0"/>
          <w:divBdr>
            <w:top w:val="none" w:sz="0" w:space="0" w:color="auto"/>
            <w:left w:val="none" w:sz="0" w:space="0" w:color="auto"/>
            <w:bottom w:val="none" w:sz="0" w:space="0" w:color="auto"/>
            <w:right w:val="none" w:sz="0" w:space="0" w:color="auto"/>
          </w:divBdr>
        </w:div>
      </w:divsChild>
    </w:div>
    <w:div w:id="1572502810">
      <w:bodyDiv w:val="1"/>
      <w:marLeft w:val="0"/>
      <w:marRight w:val="0"/>
      <w:marTop w:val="0"/>
      <w:marBottom w:val="0"/>
      <w:divBdr>
        <w:top w:val="none" w:sz="0" w:space="0" w:color="auto"/>
        <w:left w:val="none" w:sz="0" w:space="0" w:color="auto"/>
        <w:bottom w:val="none" w:sz="0" w:space="0" w:color="auto"/>
        <w:right w:val="none" w:sz="0" w:space="0" w:color="auto"/>
      </w:divBdr>
      <w:divsChild>
        <w:div w:id="561717729">
          <w:marLeft w:val="1166"/>
          <w:marRight w:val="0"/>
          <w:marTop w:val="115"/>
          <w:marBottom w:val="0"/>
          <w:divBdr>
            <w:top w:val="none" w:sz="0" w:space="0" w:color="auto"/>
            <w:left w:val="none" w:sz="0" w:space="0" w:color="auto"/>
            <w:bottom w:val="none" w:sz="0" w:space="0" w:color="auto"/>
            <w:right w:val="none" w:sz="0" w:space="0" w:color="auto"/>
          </w:divBdr>
        </w:div>
        <w:div w:id="727453982">
          <w:marLeft w:val="547"/>
          <w:marRight w:val="0"/>
          <w:marTop w:val="130"/>
          <w:marBottom w:val="0"/>
          <w:divBdr>
            <w:top w:val="none" w:sz="0" w:space="0" w:color="auto"/>
            <w:left w:val="none" w:sz="0" w:space="0" w:color="auto"/>
            <w:bottom w:val="none" w:sz="0" w:space="0" w:color="auto"/>
            <w:right w:val="none" w:sz="0" w:space="0" w:color="auto"/>
          </w:divBdr>
        </w:div>
        <w:div w:id="1038967966">
          <w:marLeft w:val="1166"/>
          <w:marRight w:val="0"/>
          <w:marTop w:val="115"/>
          <w:marBottom w:val="0"/>
          <w:divBdr>
            <w:top w:val="none" w:sz="0" w:space="0" w:color="auto"/>
            <w:left w:val="none" w:sz="0" w:space="0" w:color="auto"/>
            <w:bottom w:val="none" w:sz="0" w:space="0" w:color="auto"/>
            <w:right w:val="none" w:sz="0" w:space="0" w:color="auto"/>
          </w:divBdr>
        </w:div>
        <w:div w:id="1216086849">
          <w:marLeft w:val="1166"/>
          <w:marRight w:val="0"/>
          <w:marTop w:val="115"/>
          <w:marBottom w:val="0"/>
          <w:divBdr>
            <w:top w:val="none" w:sz="0" w:space="0" w:color="auto"/>
            <w:left w:val="none" w:sz="0" w:space="0" w:color="auto"/>
            <w:bottom w:val="none" w:sz="0" w:space="0" w:color="auto"/>
            <w:right w:val="none" w:sz="0" w:space="0" w:color="auto"/>
          </w:divBdr>
        </w:div>
      </w:divsChild>
    </w:div>
    <w:div w:id="1926913852">
      <w:bodyDiv w:val="1"/>
      <w:marLeft w:val="0"/>
      <w:marRight w:val="0"/>
      <w:marTop w:val="0"/>
      <w:marBottom w:val="0"/>
      <w:divBdr>
        <w:top w:val="none" w:sz="0" w:space="0" w:color="auto"/>
        <w:left w:val="none" w:sz="0" w:space="0" w:color="auto"/>
        <w:bottom w:val="none" w:sz="0" w:space="0" w:color="auto"/>
        <w:right w:val="none" w:sz="0" w:space="0" w:color="auto"/>
      </w:divBdr>
      <w:divsChild>
        <w:div w:id="68042266">
          <w:marLeft w:val="1166"/>
          <w:marRight w:val="0"/>
          <w:marTop w:val="115"/>
          <w:marBottom w:val="0"/>
          <w:divBdr>
            <w:top w:val="none" w:sz="0" w:space="0" w:color="auto"/>
            <w:left w:val="none" w:sz="0" w:space="0" w:color="auto"/>
            <w:bottom w:val="none" w:sz="0" w:space="0" w:color="auto"/>
            <w:right w:val="none" w:sz="0" w:space="0" w:color="auto"/>
          </w:divBdr>
        </w:div>
        <w:div w:id="726147463">
          <w:marLeft w:val="547"/>
          <w:marRight w:val="0"/>
          <w:marTop w:val="130"/>
          <w:marBottom w:val="0"/>
          <w:divBdr>
            <w:top w:val="none" w:sz="0" w:space="0" w:color="auto"/>
            <w:left w:val="none" w:sz="0" w:space="0" w:color="auto"/>
            <w:bottom w:val="none" w:sz="0" w:space="0" w:color="auto"/>
            <w:right w:val="none" w:sz="0" w:space="0" w:color="auto"/>
          </w:divBdr>
        </w:div>
        <w:div w:id="1261648119">
          <w:marLeft w:val="1166"/>
          <w:marRight w:val="0"/>
          <w:marTop w:val="115"/>
          <w:marBottom w:val="0"/>
          <w:divBdr>
            <w:top w:val="none" w:sz="0" w:space="0" w:color="auto"/>
            <w:left w:val="none" w:sz="0" w:space="0" w:color="auto"/>
            <w:bottom w:val="none" w:sz="0" w:space="0" w:color="auto"/>
            <w:right w:val="none" w:sz="0" w:space="0" w:color="auto"/>
          </w:divBdr>
        </w:div>
        <w:div w:id="2135978212">
          <w:marLeft w:val="1166"/>
          <w:marRight w:val="0"/>
          <w:marTop w:val="115"/>
          <w:marBottom w:val="0"/>
          <w:divBdr>
            <w:top w:val="none" w:sz="0" w:space="0" w:color="auto"/>
            <w:left w:val="none" w:sz="0" w:space="0" w:color="auto"/>
            <w:bottom w:val="none" w:sz="0" w:space="0" w:color="auto"/>
            <w:right w:val="none" w:sz="0" w:space="0" w:color="auto"/>
          </w:divBdr>
        </w:div>
      </w:divsChild>
    </w:div>
    <w:div w:id="195678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rkpr.co.uk" TargetMode="External"/><Relationship Id="rId3" Type="http://schemas.openxmlformats.org/officeDocument/2006/relationships/settings" Target="settings.xml"/><Relationship Id="rId7" Type="http://schemas.openxmlformats.org/officeDocument/2006/relationships/hyperlink" Target="mailto:s.meis@biosenso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Biosensors Biofreedom Release</vt:lpstr>
    </vt:vector>
  </TitlesOfParts>
  <Company>Biosensors</Company>
  <LinksUpToDate>false</LinksUpToDate>
  <CharactersWithSpaces>4692</CharactersWithSpaces>
  <SharedDoc>false</SharedDoc>
  <HLinks>
    <vt:vector size="18" baseType="variant">
      <vt:variant>
        <vt:i4>2883638</vt:i4>
      </vt:variant>
      <vt:variant>
        <vt:i4>6</vt:i4>
      </vt:variant>
      <vt:variant>
        <vt:i4>0</vt:i4>
      </vt:variant>
      <vt:variant>
        <vt:i4>5</vt:i4>
      </vt:variant>
      <vt:variant>
        <vt:lpwstr>http://www.biosensors.com/</vt:lpwstr>
      </vt:variant>
      <vt:variant>
        <vt:lpwstr/>
      </vt:variant>
      <vt:variant>
        <vt:i4>4194349</vt:i4>
      </vt:variant>
      <vt:variant>
        <vt:i4>3</vt:i4>
      </vt:variant>
      <vt:variant>
        <vt:i4>0</vt:i4>
      </vt:variant>
      <vt:variant>
        <vt:i4>5</vt:i4>
      </vt:variant>
      <vt:variant>
        <vt:lpwstr>mailto:richard@rkpr.co.uk</vt:lpwstr>
      </vt:variant>
      <vt:variant>
        <vt:lpwstr/>
      </vt:variant>
      <vt:variant>
        <vt:i4>3342426</vt:i4>
      </vt:variant>
      <vt:variant>
        <vt:i4>0</vt:i4>
      </vt:variant>
      <vt:variant>
        <vt:i4>0</vt:i4>
      </vt:variant>
      <vt:variant>
        <vt:i4>5</vt:i4>
      </vt:variant>
      <vt:variant>
        <vt:lpwstr>mailto:s.meis@biosensors.com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Biosensors Biofreedom Release</dc:title>
  <dc:subject/>
  <dc:creator>Richard Kenyon</dc:creator>
  <cp:keywords/>
  <dc:description/>
  <cp:lastModifiedBy>Lydia Kenyon</cp:lastModifiedBy>
  <cp:revision>2</cp:revision>
  <cp:lastPrinted>2009-09-24T12:41:00Z</cp:lastPrinted>
  <dcterms:created xsi:type="dcterms:W3CDTF">2011-06-15T13:21:00Z</dcterms:created>
  <dcterms:modified xsi:type="dcterms:W3CDTF">2011-06-15T13:21:00Z</dcterms:modified>
</cp:coreProperties>
</file>