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D13971">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14:anchorId="4BD83993" wp14:editId="41259F02">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DB4475" w:rsidRPr="00F95AD8" w:rsidRDefault="00DB4475" w:rsidP="003C4184">
      <w:pPr>
        <w:autoSpaceDE w:val="0"/>
        <w:autoSpaceDN w:val="0"/>
        <w:adjustRightInd w:val="0"/>
        <w:jc w:val="center"/>
        <w:outlineLvl w:val="0"/>
        <w:rPr>
          <w:rFonts w:ascii="Calibri" w:hAnsi="Calibri" w:cs="Arial"/>
          <w:b/>
          <w:bCs/>
          <w:sz w:val="36"/>
          <w:szCs w:val="36"/>
        </w:rPr>
      </w:pPr>
      <w:r w:rsidRPr="00F95AD8">
        <w:rPr>
          <w:rFonts w:ascii="Calibri" w:hAnsi="Calibri" w:cs="Arial"/>
          <w:b/>
          <w:bCs/>
          <w:sz w:val="36"/>
          <w:szCs w:val="36"/>
        </w:rPr>
        <w:t>NEWS RELEASE</w:t>
      </w:r>
    </w:p>
    <w:p w:rsidR="00DB4475" w:rsidRDefault="00DB4475">
      <w:pPr>
        <w:autoSpaceDE w:val="0"/>
        <w:autoSpaceDN w:val="0"/>
        <w:adjustRightInd w:val="0"/>
        <w:rPr>
          <w:rFonts w:ascii="Arial" w:hAnsi="Arial" w:cs="Arial"/>
          <w:b/>
          <w:bCs/>
        </w:rPr>
      </w:pPr>
    </w:p>
    <w:p w:rsidR="00DB4475" w:rsidRDefault="00DB4475">
      <w:pPr>
        <w:autoSpaceDE w:val="0"/>
        <w:autoSpaceDN w:val="0"/>
        <w:adjustRightInd w:val="0"/>
        <w:jc w:val="center"/>
        <w:rPr>
          <w:rFonts w:ascii="Calibri" w:hAnsi="Calibri" w:cs="Arial"/>
          <w:b/>
          <w:bCs/>
          <w:sz w:val="28"/>
          <w:szCs w:val="28"/>
        </w:rPr>
      </w:pPr>
      <w:r>
        <w:rPr>
          <w:rFonts w:ascii="Calibri" w:hAnsi="Calibri" w:cs="Arial"/>
          <w:b/>
          <w:bCs/>
          <w:sz w:val="28"/>
          <w:szCs w:val="28"/>
        </w:rPr>
        <w:t>Bio</w:t>
      </w:r>
      <w:r w:rsidR="00DD1515">
        <w:rPr>
          <w:rFonts w:ascii="Calibri" w:hAnsi="Calibri" w:cs="Arial"/>
          <w:b/>
          <w:bCs/>
          <w:sz w:val="28"/>
          <w:szCs w:val="28"/>
        </w:rPr>
        <w:t xml:space="preserve">sensors </w:t>
      </w:r>
      <w:r w:rsidR="00B435B0">
        <w:rPr>
          <w:rFonts w:ascii="Calibri" w:hAnsi="Calibri" w:cs="Arial"/>
          <w:b/>
          <w:bCs/>
          <w:sz w:val="28"/>
          <w:szCs w:val="28"/>
        </w:rPr>
        <w:t xml:space="preserve">Receives CE Mark Approval for </w:t>
      </w:r>
      <w:proofErr w:type="spellStart"/>
      <w:r w:rsidR="00B435B0">
        <w:rPr>
          <w:rFonts w:ascii="Calibri" w:hAnsi="Calibri" w:cs="Arial"/>
          <w:b/>
          <w:bCs/>
          <w:sz w:val="28"/>
          <w:szCs w:val="28"/>
        </w:rPr>
        <w:t>Bio</w:t>
      </w:r>
      <w:r w:rsidR="00F63823">
        <w:rPr>
          <w:rFonts w:ascii="Calibri" w:hAnsi="Calibri" w:cs="Arial"/>
          <w:b/>
          <w:bCs/>
          <w:sz w:val="28"/>
          <w:szCs w:val="28"/>
        </w:rPr>
        <w:t>Matrix</w:t>
      </w:r>
      <w:proofErr w:type="spellEnd"/>
      <w:r w:rsidR="00F63823">
        <w:rPr>
          <w:rFonts w:ascii="Calibri" w:hAnsi="Calibri" w:cs="Arial"/>
          <w:b/>
          <w:bCs/>
          <w:sz w:val="28"/>
          <w:szCs w:val="28"/>
        </w:rPr>
        <w:t xml:space="preserve"> </w:t>
      </w:r>
      <w:proofErr w:type="spellStart"/>
      <w:r w:rsidR="00F63823">
        <w:rPr>
          <w:rFonts w:ascii="Calibri" w:hAnsi="Calibri" w:cs="Arial"/>
          <w:b/>
          <w:bCs/>
          <w:sz w:val="28"/>
          <w:szCs w:val="28"/>
        </w:rPr>
        <w:t>NeoF</w:t>
      </w:r>
      <w:r w:rsidR="00846FD2">
        <w:rPr>
          <w:rFonts w:ascii="Calibri" w:hAnsi="Calibri" w:cs="Arial"/>
          <w:b/>
          <w:bCs/>
          <w:sz w:val="28"/>
          <w:szCs w:val="28"/>
        </w:rPr>
        <w:t>lex</w:t>
      </w:r>
      <w:proofErr w:type="spellEnd"/>
      <w:r w:rsidR="00B435B0">
        <w:rPr>
          <w:rFonts w:ascii="Calibri" w:hAnsi="Calibri" w:cs="Calibri"/>
          <w:b/>
          <w:bCs/>
          <w:sz w:val="28"/>
          <w:szCs w:val="28"/>
        </w:rPr>
        <w:t>™</w:t>
      </w:r>
    </w:p>
    <w:p w:rsidR="00DB4475" w:rsidRDefault="00DB4475">
      <w:pPr>
        <w:autoSpaceDE w:val="0"/>
        <w:autoSpaceDN w:val="0"/>
        <w:adjustRightInd w:val="0"/>
        <w:rPr>
          <w:rFonts w:ascii="Arial" w:hAnsi="Arial" w:cs="Arial"/>
          <w:b/>
          <w:bCs/>
          <w:sz w:val="20"/>
          <w:szCs w:val="20"/>
        </w:rPr>
      </w:pPr>
    </w:p>
    <w:p w:rsidR="00DA178C" w:rsidRPr="004B5F00" w:rsidRDefault="009B7424" w:rsidP="00204F8F">
      <w:pPr>
        <w:autoSpaceDE w:val="0"/>
        <w:autoSpaceDN w:val="0"/>
        <w:adjustRightInd w:val="0"/>
        <w:jc w:val="both"/>
        <w:rPr>
          <w:rFonts w:ascii="Calibri" w:hAnsi="Calibri" w:cs="Calibri"/>
          <w:lang w:val="en-GB" w:eastAsia="ja-JP"/>
        </w:rPr>
      </w:pPr>
      <w:r>
        <w:rPr>
          <w:rFonts w:ascii="Calibri" w:hAnsi="Calibri" w:cs="Arial"/>
          <w:b/>
          <w:bCs/>
        </w:rPr>
        <w:t>20</w:t>
      </w:r>
      <w:r w:rsidR="00846FD2">
        <w:rPr>
          <w:rFonts w:ascii="Calibri" w:hAnsi="Calibri" w:cs="Arial"/>
          <w:b/>
          <w:bCs/>
        </w:rPr>
        <w:t xml:space="preserve"> May</w:t>
      </w:r>
      <w:r w:rsidR="001204BD">
        <w:rPr>
          <w:rFonts w:ascii="Calibri" w:hAnsi="Calibri" w:cs="Arial"/>
          <w:b/>
          <w:bCs/>
        </w:rPr>
        <w:t xml:space="preserve"> 2013</w:t>
      </w:r>
      <w:r w:rsidR="00DB4475">
        <w:rPr>
          <w:rFonts w:ascii="Calibri" w:hAnsi="Calibri" w:cs="Arial"/>
          <w:b/>
          <w:bCs/>
        </w:rPr>
        <w:t xml:space="preserve"> – </w:t>
      </w:r>
      <w:r w:rsidR="00B435B0">
        <w:rPr>
          <w:rFonts w:ascii="Calibri" w:hAnsi="Calibri" w:cs="Calibri"/>
          <w:lang w:val="en-GB" w:eastAsia="ja-JP"/>
        </w:rPr>
        <w:t>Bios</w:t>
      </w:r>
      <w:r w:rsidR="004B5F00">
        <w:rPr>
          <w:rFonts w:ascii="Calibri" w:hAnsi="Calibri" w:cs="Calibri"/>
          <w:lang w:val="en-GB" w:eastAsia="ja-JP"/>
        </w:rPr>
        <w:t>ensors International has</w:t>
      </w:r>
      <w:r w:rsidR="00CE06E0">
        <w:rPr>
          <w:rFonts w:ascii="Calibri" w:hAnsi="Calibri" w:cs="Calibri"/>
          <w:lang w:val="en-GB" w:eastAsia="ja-JP"/>
        </w:rPr>
        <w:t xml:space="preserve"> announced </w:t>
      </w:r>
      <w:r w:rsidR="00B435B0">
        <w:rPr>
          <w:rFonts w:ascii="Calibri" w:hAnsi="Calibri" w:cs="Calibri"/>
          <w:lang w:val="en-GB" w:eastAsia="ja-JP"/>
        </w:rPr>
        <w:t xml:space="preserve">CE Mark approval </w:t>
      </w:r>
      <w:r w:rsidR="00D06FD9">
        <w:rPr>
          <w:rFonts w:ascii="Calibri" w:hAnsi="Calibri" w:cs="Calibri"/>
          <w:lang w:val="en-GB" w:eastAsia="ja-JP"/>
        </w:rPr>
        <w:t xml:space="preserve">for </w:t>
      </w:r>
      <w:proofErr w:type="spellStart"/>
      <w:r w:rsidR="00F63823">
        <w:rPr>
          <w:rFonts w:ascii="Calibri" w:hAnsi="Calibri" w:cs="Calibri"/>
          <w:lang w:val="en-GB" w:eastAsia="ja-JP"/>
        </w:rPr>
        <w:t>BioMatrix</w:t>
      </w:r>
      <w:proofErr w:type="spellEnd"/>
      <w:r w:rsidR="00F63823">
        <w:rPr>
          <w:rFonts w:ascii="Calibri" w:hAnsi="Calibri" w:cs="Calibri"/>
          <w:lang w:val="en-GB" w:eastAsia="ja-JP"/>
        </w:rPr>
        <w:t xml:space="preserve"> </w:t>
      </w:r>
      <w:proofErr w:type="spellStart"/>
      <w:r w:rsidR="00F63823">
        <w:rPr>
          <w:rFonts w:ascii="Calibri" w:hAnsi="Calibri" w:cs="Calibri"/>
          <w:lang w:val="en-GB" w:eastAsia="ja-JP"/>
        </w:rPr>
        <w:t>NeoF</w:t>
      </w:r>
      <w:r w:rsidR="00846FD2">
        <w:rPr>
          <w:rFonts w:ascii="Calibri" w:hAnsi="Calibri" w:cs="Calibri"/>
          <w:lang w:val="en-GB" w:eastAsia="ja-JP"/>
        </w:rPr>
        <w:t>lex</w:t>
      </w:r>
      <w:proofErr w:type="spellEnd"/>
      <w:r w:rsidR="00846FD2">
        <w:rPr>
          <w:rFonts w:ascii="Calibri" w:hAnsi="Calibri" w:cs="Arial"/>
        </w:rPr>
        <w:t xml:space="preserve">™, </w:t>
      </w:r>
      <w:r w:rsidR="00846FD2">
        <w:rPr>
          <w:rFonts w:ascii="Calibri" w:hAnsi="Calibri" w:cs="Calibri"/>
          <w:lang w:val="en-GB" w:eastAsia="ja-JP"/>
        </w:rPr>
        <w:t>the latest addition to the BioMatrix family of drug-eluting stents (DES)</w:t>
      </w:r>
      <w:r w:rsidR="00D06FD9">
        <w:rPr>
          <w:rFonts w:ascii="Calibri" w:hAnsi="Calibri" w:cs="Arial"/>
        </w:rPr>
        <w:t xml:space="preserve">. </w:t>
      </w:r>
    </w:p>
    <w:p w:rsidR="007639E1" w:rsidRDefault="00F63823" w:rsidP="007E3ECB">
      <w:pPr>
        <w:pStyle w:val="NormalWeb"/>
        <w:jc w:val="both"/>
        <w:rPr>
          <w:rFonts w:ascii="Calibri" w:hAnsi="Calibri" w:cs="Calibri"/>
        </w:rPr>
      </w:pPr>
      <w:proofErr w:type="spellStart"/>
      <w:r>
        <w:rPr>
          <w:rFonts w:ascii="Calibri" w:hAnsi="Calibri" w:cs="Calibri"/>
          <w:lang w:eastAsia="ja-JP"/>
        </w:rPr>
        <w:t>BioMatrix</w:t>
      </w:r>
      <w:proofErr w:type="spellEnd"/>
      <w:r>
        <w:rPr>
          <w:rFonts w:ascii="Calibri" w:hAnsi="Calibri" w:cs="Calibri"/>
          <w:lang w:eastAsia="ja-JP"/>
        </w:rPr>
        <w:t xml:space="preserve"> </w:t>
      </w:r>
      <w:proofErr w:type="spellStart"/>
      <w:r>
        <w:rPr>
          <w:rFonts w:ascii="Calibri" w:hAnsi="Calibri" w:cs="Calibri"/>
          <w:lang w:eastAsia="ja-JP"/>
        </w:rPr>
        <w:t>NeoF</w:t>
      </w:r>
      <w:r w:rsidR="00B72319">
        <w:rPr>
          <w:rFonts w:ascii="Calibri" w:hAnsi="Calibri" w:cs="Calibri"/>
          <w:lang w:eastAsia="ja-JP"/>
        </w:rPr>
        <w:t>lex</w:t>
      </w:r>
      <w:proofErr w:type="spellEnd"/>
      <w:r w:rsidR="00B72319">
        <w:rPr>
          <w:rFonts w:ascii="Calibri" w:hAnsi="Calibri" w:cs="Arial"/>
        </w:rPr>
        <w:t xml:space="preserve"> features a</w:t>
      </w:r>
      <w:r w:rsidR="00196233">
        <w:rPr>
          <w:rFonts w:ascii="Calibri" w:hAnsi="Calibri" w:cs="Arial"/>
        </w:rPr>
        <w:t xml:space="preserve"> new advanced </w:t>
      </w:r>
      <w:r w:rsidR="008458A3">
        <w:rPr>
          <w:rFonts w:ascii="Calibri" w:hAnsi="Calibri" w:cs="Arial"/>
        </w:rPr>
        <w:t>stent</w:t>
      </w:r>
      <w:r w:rsidR="00B72319">
        <w:rPr>
          <w:rFonts w:ascii="Calibri" w:hAnsi="Calibri" w:cs="Arial"/>
        </w:rPr>
        <w:t xml:space="preserve"> delivery system,</w:t>
      </w:r>
      <w:r w:rsidR="007639E1">
        <w:rPr>
          <w:rFonts w:ascii="Calibri" w:hAnsi="Calibri" w:cs="Calibri"/>
        </w:rPr>
        <w:t xml:space="preserve"> improving </w:t>
      </w:r>
      <w:proofErr w:type="spellStart"/>
      <w:r w:rsidR="007639E1">
        <w:rPr>
          <w:rFonts w:ascii="Calibri" w:hAnsi="Calibri" w:cs="Calibri"/>
        </w:rPr>
        <w:t>pushability</w:t>
      </w:r>
      <w:proofErr w:type="spellEnd"/>
      <w:r w:rsidR="007639E1">
        <w:rPr>
          <w:rFonts w:ascii="Calibri" w:hAnsi="Calibri" w:cs="Calibri"/>
        </w:rPr>
        <w:t xml:space="preserve">, </w:t>
      </w:r>
      <w:proofErr w:type="spellStart"/>
      <w:r w:rsidR="007639E1">
        <w:rPr>
          <w:rFonts w:ascii="Calibri" w:hAnsi="Calibri" w:cs="Calibri"/>
        </w:rPr>
        <w:t>trackability</w:t>
      </w:r>
      <w:proofErr w:type="spellEnd"/>
      <w:r w:rsidR="007639E1">
        <w:rPr>
          <w:rFonts w:ascii="Calibri" w:hAnsi="Calibri" w:cs="Calibri"/>
        </w:rPr>
        <w:t xml:space="preserve"> and </w:t>
      </w:r>
      <w:proofErr w:type="spellStart"/>
      <w:r w:rsidR="007639E1">
        <w:rPr>
          <w:rFonts w:ascii="Calibri" w:hAnsi="Calibri" w:cs="Calibri"/>
        </w:rPr>
        <w:t>crossability</w:t>
      </w:r>
      <w:proofErr w:type="spellEnd"/>
      <w:r w:rsidR="007639E1">
        <w:rPr>
          <w:rFonts w:ascii="Calibri" w:hAnsi="Calibri" w:cs="Calibri"/>
        </w:rPr>
        <w:t xml:space="preserve">. </w:t>
      </w:r>
      <w:r w:rsidR="00BC3D92">
        <w:rPr>
          <w:rFonts w:ascii="Calibri" w:hAnsi="Calibri" w:cs="Calibri"/>
          <w:lang w:val="en-US"/>
        </w:rPr>
        <w:t xml:space="preserve">It also has </w:t>
      </w:r>
      <w:r w:rsidR="00BC3D92" w:rsidRPr="00BC3D92">
        <w:rPr>
          <w:rFonts w:ascii="Calibri" w:hAnsi="Calibri" w:cs="Calibri"/>
          <w:lang w:val="en-US"/>
        </w:rPr>
        <w:t>a lower lesion entry profile than its predecessor</w:t>
      </w:r>
      <w:r w:rsidR="00BC3D92">
        <w:rPr>
          <w:rFonts w:ascii="Calibri" w:hAnsi="Calibri" w:cs="Calibri"/>
          <w:lang w:val="en-US"/>
        </w:rPr>
        <w:t>.</w:t>
      </w:r>
      <w:r w:rsidR="00BC3D92" w:rsidRPr="00BC3D92">
        <w:rPr>
          <w:rFonts w:ascii="Calibri" w:hAnsi="Calibri" w:cs="Calibri"/>
          <w:lang w:val="en-US"/>
        </w:rPr>
        <w:t xml:space="preserve"> </w:t>
      </w:r>
      <w:proofErr w:type="spellStart"/>
      <w:r w:rsidR="00935B50">
        <w:rPr>
          <w:rFonts w:ascii="Calibri" w:hAnsi="Calibri" w:cs="Calibri"/>
          <w:lang w:eastAsia="ja-JP"/>
        </w:rPr>
        <w:t>BioMatrix</w:t>
      </w:r>
      <w:proofErr w:type="spellEnd"/>
      <w:r w:rsidR="00935B50">
        <w:rPr>
          <w:rFonts w:ascii="Calibri" w:hAnsi="Calibri" w:cs="Calibri"/>
          <w:lang w:eastAsia="ja-JP"/>
        </w:rPr>
        <w:t xml:space="preserve"> </w:t>
      </w:r>
      <w:proofErr w:type="spellStart"/>
      <w:r w:rsidR="00935B50">
        <w:rPr>
          <w:rFonts w:ascii="Calibri" w:hAnsi="Calibri" w:cs="Calibri"/>
          <w:lang w:eastAsia="ja-JP"/>
        </w:rPr>
        <w:t>NeoF</w:t>
      </w:r>
      <w:r w:rsidR="007639E1">
        <w:rPr>
          <w:rFonts w:ascii="Calibri" w:hAnsi="Calibri" w:cs="Calibri"/>
          <w:lang w:eastAsia="ja-JP"/>
        </w:rPr>
        <w:t>lex</w:t>
      </w:r>
      <w:proofErr w:type="spellEnd"/>
      <w:r w:rsidR="007639E1">
        <w:rPr>
          <w:rFonts w:ascii="Calibri" w:hAnsi="Calibri" w:cs="Arial"/>
        </w:rPr>
        <w:t xml:space="preserve"> retains </w:t>
      </w:r>
      <w:r w:rsidR="00421C64">
        <w:rPr>
          <w:rFonts w:ascii="Calibri" w:hAnsi="Calibri" w:cs="Arial"/>
          <w:lang w:val="en-US" w:eastAsia="en-US"/>
        </w:rPr>
        <w:t xml:space="preserve">the same unique combination of </w:t>
      </w:r>
      <w:proofErr w:type="spellStart"/>
      <w:r w:rsidR="00421C64">
        <w:rPr>
          <w:rFonts w:ascii="Calibri" w:hAnsi="Calibri" w:cs="Arial"/>
          <w:lang w:val="en-US" w:eastAsia="en-US"/>
        </w:rPr>
        <w:t>abluminal</w:t>
      </w:r>
      <w:proofErr w:type="spellEnd"/>
      <w:r w:rsidR="00421C64">
        <w:rPr>
          <w:rFonts w:ascii="Calibri" w:hAnsi="Calibri" w:cs="Arial"/>
          <w:lang w:val="en-US" w:eastAsia="en-US"/>
        </w:rPr>
        <w:t xml:space="preserve"> biodegradable polymer coating, proprietary </w:t>
      </w:r>
      <w:proofErr w:type="spellStart"/>
      <w:r w:rsidR="00421C64">
        <w:rPr>
          <w:rFonts w:ascii="Calibri" w:hAnsi="Calibri" w:cs="Arial"/>
          <w:lang w:val="en-US" w:eastAsia="en-US"/>
        </w:rPr>
        <w:t>limus</w:t>
      </w:r>
      <w:proofErr w:type="spellEnd"/>
      <w:r w:rsidR="00421C64">
        <w:rPr>
          <w:rFonts w:ascii="Calibri" w:hAnsi="Calibri" w:cs="Arial"/>
          <w:lang w:val="en-US" w:eastAsia="en-US"/>
        </w:rPr>
        <w:t xml:space="preserve"> drug </w:t>
      </w:r>
      <w:proofErr w:type="spellStart"/>
      <w:r w:rsidR="00421C64">
        <w:rPr>
          <w:rFonts w:ascii="Calibri" w:hAnsi="Calibri" w:cs="Calibri"/>
        </w:rPr>
        <w:t>Biolimus</w:t>
      </w:r>
      <w:proofErr w:type="spellEnd"/>
      <w:r w:rsidR="00421C64">
        <w:rPr>
          <w:rFonts w:ascii="Calibri" w:hAnsi="Calibri" w:cs="Calibri"/>
        </w:rPr>
        <w:t xml:space="preserve"> A9</w:t>
      </w:r>
      <w:r w:rsidR="00421C64" w:rsidRPr="003F3497">
        <w:rPr>
          <w:rFonts w:ascii="Calibri" w:hAnsi="Calibri" w:cs="Calibri"/>
          <w:iCs/>
        </w:rPr>
        <w:t>™</w:t>
      </w:r>
      <w:r w:rsidR="00421C64">
        <w:rPr>
          <w:rFonts w:ascii="Calibri" w:hAnsi="Calibri" w:cs="Calibri"/>
        </w:rPr>
        <w:t xml:space="preserve"> (BA9™) </w:t>
      </w:r>
      <w:r>
        <w:rPr>
          <w:rFonts w:ascii="Calibri" w:hAnsi="Calibri" w:cs="Calibri"/>
        </w:rPr>
        <w:t>and flexible platform which has</w:t>
      </w:r>
      <w:r w:rsidR="00421C64">
        <w:rPr>
          <w:rFonts w:ascii="Calibri" w:hAnsi="Calibri" w:cs="Calibri"/>
        </w:rPr>
        <w:t xml:space="preserve"> made </w:t>
      </w:r>
      <w:r>
        <w:rPr>
          <w:rFonts w:ascii="Calibri" w:hAnsi="Calibri" w:cs="Calibri"/>
        </w:rPr>
        <w:t xml:space="preserve">the </w:t>
      </w:r>
      <w:proofErr w:type="spellStart"/>
      <w:r>
        <w:rPr>
          <w:rFonts w:ascii="Calibri" w:hAnsi="Calibri" w:cs="Calibri"/>
        </w:rPr>
        <w:t>BioMatrix</w:t>
      </w:r>
      <w:proofErr w:type="spellEnd"/>
      <w:r w:rsidR="00A932F9">
        <w:rPr>
          <w:rFonts w:ascii="Calibri" w:hAnsi="Calibri" w:cs="Calibri"/>
        </w:rPr>
        <w:t xml:space="preserve"> stent family</w:t>
      </w:r>
      <w:r w:rsidR="00B72319">
        <w:rPr>
          <w:rFonts w:ascii="Calibri" w:hAnsi="Calibri" w:cs="Calibri"/>
        </w:rPr>
        <w:t xml:space="preserve"> an increasingly popular choice of DES in </w:t>
      </w:r>
      <w:r w:rsidR="00E33614">
        <w:rPr>
          <w:rFonts w:ascii="Calibri" w:hAnsi="Calibri" w:cs="Calibri"/>
        </w:rPr>
        <w:t xml:space="preserve">the </w:t>
      </w:r>
      <w:r w:rsidR="00B72319">
        <w:rPr>
          <w:rFonts w:ascii="Calibri" w:hAnsi="Calibri" w:cs="Calibri"/>
        </w:rPr>
        <w:t xml:space="preserve">global markets where </w:t>
      </w:r>
      <w:r>
        <w:rPr>
          <w:rFonts w:ascii="Calibri" w:hAnsi="Calibri" w:cs="Calibri"/>
        </w:rPr>
        <w:t>it is available</w:t>
      </w:r>
      <w:r w:rsidR="007639E1">
        <w:rPr>
          <w:rFonts w:ascii="Calibri" w:hAnsi="Calibri" w:cs="Calibri"/>
        </w:rPr>
        <w:t>.</w:t>
      </w:r>
    </w:p>
    <w:p w:rsidR="009A60B0" w:rsidRDefault="00196233" w:rsidP="00E33614">
      <w:pPr>
        <w:rPr>
          <w:rFonts w:ascii="Calibri" w:hAnsi="Calibri" w:cs="Arial"/>
        </w:rPr>
      </w:pPr>
      <w:r>
        <w:rPr>
          <w:rFonts w:ascii="Calibri" w:hAnsi="Calibri" w:cs="Calibri"/>
          <w:lang w:val="en-GB" w:eastAsia="ja-JP"/>
        </w:rPr>
        <w:t xml:space="preserve">The landmark </w:t>
      </w:r>
      <w:r w:rsidR="00F63823">
        <w:rPr>
          <w:rFonts w:ascii="Calibri" w:hAnsi="Calibri" w:cs="Calibri"/>
          <w:lang w:val="en-GB" w:eastAsia="ja-JP"/>
        </w:rPr>
        <w:t xml:space="preserve">LEADERS </w:t>
      </w:r>
      <w:r>
        <w:rPr>
          <w:rFonts w:ascii="Calibri" w:hAnsi="Calibri" w:cs="Calibri"/>
          <w:lang w:val="en-GB" w:eastAsia="ja-JP"/>
        </w:rPr>
        <w:t xml:space="preserve">trial </w:t>
      </w:r>
      <w:r w:rsidR="00F63823">
        <w:rPr>
          <w:rFonts w:ascii="Calibri" w:hAnsi="Calibri" w:cs="Calibri"/>
          <w:lang w:val="en-GB" w:eastAsia="ja-JP"/>
        </w:rPr>
        <w:t xml:space="preserve">demonstrated </w:t>
      </w:r>
      <w:r w:rsidR="00F63823">
        <w:rPr>
          <w:rFonts w:ascii="Calibri" w:hAnsi="Calibri" w:cs="Arial"/>
        </w:rPr>
        <w:t>the ‘</w:t>
      </w:r>
      <w:r w:rsidR="00E33614" w:rsidRPr="00F63823">
        <w:rPr>
          <w:rFonts w:ascii="Calibri" w:hAnsi="Calibri" w:cs="Arial"/>
        </w:rPr>
        <w:t>Gold Stan</w:t>
      </w:r>
      <w:r w:rsidR="009A60B0">
        <w:rPr>
          <w:rFonts w:ascii="Calibri" w:hAnsi="Calibri" w:cs="Arial"/>
        </w:rPr>
        <w:t xml:space="preserve">dard’ </w:t>
      </w:r>
      <w:r w:rsidR="00F63823">
        <w:rPr>
          <w:rFonts w:ascii="Calibri" w:hAnsi="Calibri" w:cs="Arial"/>
        </w:rPr>
        <w:t xml:space="preserve">performance of </w:t>
      </w:r>
      <w:proofErr w:type="spellStart"/>
      <w:r w:rsidR="00E33614" w:rsidRPr="00F63823">
        <w:rPr>
          <w:rFonts w:ascii="Calibri" w:hAnsi="Calibri" w:cs="Arial"/>
        </w:rPr>
        <w:t>BioMatrix</w:t>
      </w:r>
      <w:proofErr w:type="spellEnd"/>
      <w:r w:rsidR="00E33614" w:rsidRPr="00F63823">
        <w:rPr>
          <w:rFonts w:ascii="Calibri" w:hAnsi="Calibri" w:cs="Arial"/>
        </w:rPr>
        <w:t xml:space="preserve"> Flex</w:t>
      </w:r>
      <w:r w:rsidR="00F63823" w:rsidRPr="00F63823">
        <w:rPr>
          <w:rFonts w:ascii="Calibri" w:hAnsi="Calibri" w:cs="Arial"/>
        </w:rPr>
        <w:t>™</w:t>
      </w:r>
      <w:r w:rsidR="00F63823">
        <w:rPr>
          <w:rFonts w:ascii="Calibri" w:hAnsi="Calibri" w:cs="Arial"/>
        </w:rPr>
        <w:t xml:space="preserve">, </w:t>
      </w:r>
      <w:r w:rsidR="009A60B0">
        <w:rPr>
          <w:rFonts w:ascii="Calibri" w:hAnsi="Calibri" w:cs="Arial"/>
        </w:rPr>
        <w:t xml:space="preserve">and the baton has now been passed to the next generation in the form of </w:t>
      </w:r>
      <w:proofErr w:type="spellStart"/>
      <w:r w:rsidR="009A60B0">
        <w:rPr>
          <w:rFonts w:ascii="Calibri" w:hAnsi="Calibri" w:cs="Arial"/>
        </w:rPr>
        <w:t>BioMatrix</w:t>
      </w:r>
      <w:proofErr w:type="spellEnd"/>
      <w:r w:rsidR="009A60B0">
        <w:rPr>
          <w:rFonts w:ascii="Calibri" w:hAnsi="Calibri" w:cs="Arial"/>
        </w:rPr>
        <w:t xml:space="preserve"> </w:t>
      </w:r>
      <w:proofErr w:type="spellStart"/>
      <w:r w:rsidR="009A60B0">
        <w:rPr>
          <w:rFonts w:ascii="Calibri" w:hAnsi="Calibri" w:cs="Arial"/>
        </w:rPr>
        <w:t>NeoFlex</w:t>
      </w:r>
      <w:proofErr w:type="spellEnd"/>
      <w:r w:rsidR="009A60B0">
        <w:rPr>
          <w:rFonts w:ascii="Calibri" w:hAnsi="Calibri" w:cs="Arial"/>
        </w:rPr>
        <w:t xml:space="preserve">, </w:t>
      </w:r>
      <w:r w:rsidR="00935B50">
        <w:rPr>
          <w:rFonts w:ascii="Calibri" w:hAnsi="Calibri" w:cs="Arial"/>
        </w:rPr>
        <w:t xml:space="preserve">equipped with </w:t>
      </w:r>
      <w:r w:rsidR="009A60B0">
        <w:rPr>
          <w:rFonts w:ascii="Calibri" w:hAnsi="Calibri" w:cs="Arial"/>
        </w:rPr>
        <w:t>all the attributes of its successful predecessor</w:t>
      </w:r>
      <w:r w:rsidR="00935B50">
        <w:rPr>
          <w:rFonts w:ascii="Calibri" w:hAnsi="Calibri" w:cs="Arial"/>
        </w:rPr>
        <w:t>, together with improved deliverability.</w:t>
      </w:r>
      <w:r w:rsidR="009A60B0">
        <w:rPr>
          <w:rFonts w:ascii="Calibri" w:hAnsi="Calibri" w:cs="Arial"/>
        </w:rPr>
        <w:t xml:space="preserve"> </w:t>
      </w:r>
    </w:p>
    <w:p w:rsidR="009A60B0" w:rsidRDefault="009A60B0" w:rsidP="00E33614">
      <w:pPr>
        <w:rPr>
          <w:rFonts w:ascii="Calibri" w:hAnsi="Calibri" w:cs="Arial"/>
        </w:rPr>
      </w:pPr>
    </w:p>
    <w:p w:rsidR="00E33614" w:rsidRPr="00E33614" w:rsidRDefault="00E33614" w:rsidP="00E33614">
      <w:pPr>
        <w:rPr>
          <w:rFonts w:asciiTheme="minorHAnsi" w:hAnsiTheme="minorHAnsi" w:cs="Arial"/>
        </w:rPr>
      </w:pPr>
      <w:r w:rsidRPr="00E33614">
        <w:rPr>
          <w:rFonts w:asciiTheme="minorHAnsi" w:hAnsiTheme="minorHAnsi" w:cs="Arial"/>
        </w:rPr>
        <w:t xml:space="preserve">Results </w:t>
      </w:r>
      <w:r w:rsidR="00935B50">
        <w:rPr>
          <w:rFonts w:asciiTheme="minorHAnsi" w:hAnsiTheme="minorHAnsi" w:cs="Arial"/>
        </w:rPr>
        <w:t xml:space="preserve">from the final five-year LEADERS data, presented at TCT 2012, </w:t>
      </w:r>
      <w:r w:rsidRPr="00E33614">
        <w:rPr>
          <w:rFonts w:asciiTheme="minorHAnsi" w:hAnsiTheme="minorHAnsi" w:cs="Arial"/>
        </w:rPr>
        <w:t xml:space="preserve">demonstrated that </w:t>
      </w:r>
      <w:proofErr w:type="spellStart"/>
      <w:r w:rsidR="00935B50">
        <w:rPr>
          <w:rFonts w:asciiTheme="minorHAnsi" w:hAnsiTheme="minorHAnsi" w:cs="Arial"/>
        </w:rPr>
        <w:t>BioMatrix</w:t>
      </w:r>
      <w:proofErr w:type="spellEnd"/>
      <w:r w:rsidR="00935B50">
        <w:rPr>
          <w:rFonts w:asciiTheme="minorHAnsi" w:hAnsiTheme="minorHAnsi" w:cs="Arial"/>
        </w:rPr>
        <w:t xml:space="preserve"> Flex </w:t>
      </w:r>
      <w:r w:rsidRPr="00E33614">
        <w:rPr>
          <w:rFonts w:asciiTheme="minorHAnsi" w:hAnsiTheme="minorHAnsi" w:cs="Arial"/>
        </w:rPr>
        <w:t xml:space="preserve">significantly reduced the risk of clinical events in the very late phase, and showed a significant reduction in very late stent thrombosis (VLST), </w:t>
      </w:r>
      <w:proofErr w:type="gramStart"/>
      <w:r w:rsidRPr="00E33614">
        <w:rPr>
          <w:rFonts w:asciiTheme="minorHAnsi" w:hAnsiTheme="minorHAnsi" w:cs="Arial"/>
        </w:rPr>
        <w:t>compared</w:t>
      </w:r>
      <w:proofErr w:type="gramEnd"/>
      <w:r w:rsidRPr="00E33614">
        <w:rPr>
          <w:rFonts w:asciiTheme="minorHAnsi" w:hAnsiTheme="minorHAnsi" w:cs="Arial"/>
        </w:rPr>
        <w:t xml:space="preserve"> with Cypher</w:t>
      </w:r>
      <w:r w:rsidRPr="00E33614">
        <w:rPr>
          <w:rFonts w:asciiTheme="minorHAnsi" w:hAnsiTheme="minorHAnsi" w:cs="Arial"/>
          <w:vertAlign w:val="superscript"/>
        </w:rPr>
        <w:t>®</w:t>
      </w:r>
      <w:r w:rsidRPr="00E33614">
        <w:rPr>
          <w:rFonts w:asciiTheme="minorHAnsi" w:hAnsiTheme="minorHAnsi" w:cs="Arial"/>
        </w:rPr>
        <w:t xml:space="preserve"> Select™. </w:t>
      </w:r>
    </w:p>
    <w:p w:rsidR="00E33614" w:rsidRPr="00E33614" w:rsidRDefault="00E33614" w:rsidP="00E33614">
      <w:pPr>
        <w:pStyle w:val="Standard"/>
        <w:rPr>
          <w:rFonts w:asciiTheme="minorHAnsi" w:hAnsiTheme="minorHAnsi" w:cs="Arial"/>
          <w:lang w:val="en-US"/>
        </w:rPr>
      </w:pPr>
    </w:p>
    <w:p w:rsidR="00B90072" w:rsidRDefault="00B90072" w:rsidP="00B90072">
      <w:pPr>
        <w:rPr>
          <w:rFonts w:asciiTheme="minorHAnsi" w:hAnsiTheme="minorHAnsi" w:cs="Segoe UI"/>
          <w:lang w:eastAsia="en-GB"/>
        </w:rPr>
      </w:pPr>
      <w:r>
        <w:rPr>
          <w:rFonts w:asciiTheme="minorHAnsi" w:hAnsiTheme="minorHAnsi" w:cs="Segoe UI"/>
          <w:lang w:eastAsia="en-GB"/>
        </w:rPr>
        <w:t xml:space="preserve">“CE Mark approval for </w:t>
      </w:r>
      <w:proofErr w:type="spellStart"/>
      <w:r w:rsidR="00935B50">
        <w:rPr>
          <w:rFonts w:ascii="Calibri" w:hAnsi="Calibri" w:cs="Calibri"/>
          <w:lang w:val="en-GB" w:eastAsia="ja-JP"/>
        </w:rPr>
        <w:t>BioMatrix</w:t>
      </w:r>
      <w:proofErr w:type="spellEnd"/>
      <w:r w:rsidR="00935B50">
        <w:rPr>
          <w:rFonts w:ascii="Calibri" w:hAnsi="Calibri" w:cs="Calibri"/>
          <w:lang w:val="en-GB" w:eastAsia="ja-JP"/>
        </w:rPr>
        <w:t xml:space="preserve"> </w:t>
      </w:r>
      <w:proofErr w:type="spellStart"/>
      <w:r w:rsidR="00935B50">
        <w:rPr>
          <w:rFonts w:ascii="Calibri" w:hAnsi="Calibri" w:cs="Calibri"/>
          <w:lang w:val="en-GB" w:eastAsia="ja-JP"/>
        </w:rPr>
        <w:t>NeoF</w:t>
      </w:r>
      <w:r>
        <w:rPr>
          <w:rFonts w:ascii="Calibri" w:hAnsi="Calibri" w:cs="Calibri"/>
          <w:lang w:val="en-GB" w:eastAsia="ja-JP"/>
        </w:rPr>
        <w:t>lex</w:t>
      </w:r>
      <w:proofErr w:type="spellEnd"/>
      <w:r>
        <w:rPr>
          <w:rFonts w:ascii="Calibri" w:hAnsi="Calibri" w:cs="Calibri"/>
          <w:lang w:val="en-GB" w:eastAsia="ja-JP"/>
        </w:rPr>
        <w:t xml:space="preserve"> represents another important step forward for the BioMatrix brand, improving our flagship product yet further with enhanced deliverability </w:t>
      </w:r>
      <w:r>
        <w:rPr>
          <w:rFonts w:asciiTheme="minorHAnsi" w:hAnsiTheme="minorHAnsi" w:cs="Segoe UI"/>
          <w:lang w:eastAsia="en-GB"/>
        </w:rPr>
        <w:t>”, commented Jeffrey B. Jump, President of Biosensors’ Cardiovascular Division. “</w:t>
      </w:r>
      <w:r w:rsidR="00A80A37">
        <w:rPr>
          <w:rFonts w:asciiTheme="minorHAnsi" w:hAnsiTheme="minorHAnsi" w:cs="Segoe UI"/>
          <w:lang w:eastAsia="en-GB"/>
        </w:rPr>
        <w:t xml:space="preserve">Since the launch of the original </w:t>
      </w:r>
      <w:proofErr w:type="spellStart"/>
      <w:r w:rsidR="00A80A37">
        <w:rPr>
          <w:rFonts w:asciiTheme="minorHAnsi" w:hAnsiTheme="minorHAnsi" w:cs="Segoe UI"/>
          <w:lang w:eastAsia="en-GB"/>
        </w:rPr>
        <w:t>BioMatrix</w:t>
      </w:r>
      <w:proofErr w:type="spellEnd"/>
      <w:r w:rsidR="00A80A37">
        <w:rPr>
          <w:rFonts w:asciiTheme="minorHAnsi" w:hAnsiTheme="minorHAnsi" w:cs="Segoe UI"/>
          <w:lang w:eastAsia="en-GB"/>
        </w:rPr>
        <w:t xml:space="preserve"> in 2008, we have been the driving force in biodegradable polymer </w:t>
      </w:r>
      <w:r w:rsidR="00935B50">
        <w:rPr>
          <w:rFonts w:asciiTheme="minorHAnsi" w:hAnsiTheme="minorHAnsi" w:cs="Segoe UI"/>
          <w:lang w:eastAsia="en-GB"/>
        </w:rPr>
        <w:t xml:space="preserve">stent technology: </w:t>
      </w:r>
      <w:proofErr w:type="spellStart"/>
      <w:r w:rsidR="00935B50">
        <w:rPr>
          <w:rFonts w:asciiTheme="minorHAnsi" w:hAnsiTheme="minorHAnsi" w:cs="Segoe UI"/>
          <w:lang w:eastAsia="en-GB"/>
        </w:rPr>
        <w:t>BioMatrix</w:t>
      </w:r>
      <w:proofErr w:type="spellEnd"/>
      <w:r w:rsidR="00935B50">
        <w:rPr>
          <w:rFonts w:asciiTheme="minorHAnsi" w:hAnsiTheme="minorHAnsi" w:cs="Segoe UI"/>
          <w:lang w:eastAsia="en-GB"/>
        </w:rPr>
        <w:t xml:space="preserve"> </w:t>
      </w:r>
      <w:proofErr w:type="spellStart"/>
      <w:r w:rsidR="00935B50">
        <w:rPr>
          <w:rFonts w:asciiTheme="minorHAnsi" w:hAnsiTheme="minorHAnsi" w:cs="Segoe UI"/>
          <w:lang w:eastAsia="en-GB"/>
        </w:rPr>
        <w:t>NeoF</w:t>
      </w:r>
      <w:r w:rsidR="00A80A37">
        <w:rPr>
          <w:rFonts w:asciiTheme="minorHAnsi" w:hAnsiTheme="minorHAnsi" w:cs="Segoe UI"/>
          <w:lang w:eastAsia="en-GB"/>
        </w:rPr>
        <w:t>lex</w:t>
      </w:r>
      <w:proofErr w:type="spellEnd"/>
      <w:r w:rsidR="00A80A37">
        <w:rPr>
          <w:rFonts w:asciiTheme="minorHAnsi" w:hAnsiTheme="minorHAnsi" w:cs="Segoe UI"/>
          <w:lang w:eastAsia="en-GB"/>
        </w:rPr>
        <w:t xml:space="preserve"> will enable us to retain this position</w:t>
      </w:r>
      <w:r>
        <w:rPr>
          <w:rFonts w:asciiTheme="minorHAnsi" w:hAnsiTheme="minorHAnsi" w:cs="Segoe UI"/>
          <w:lang w:eastAsia="en-GB"/>
        </w:rPr>
        <w:t xml:space="preserve">.”   </w:t>
      </w:r>
    </w:p>
    <w:p w:rsidR="00A80A37" w:rsidRDefault="00A80A37" w:rsidP="00B90072">
      <w:pPr>
        <w:rPr>
          <w:rFonts w:asciiTheme="minorHAnsi" w:hAnsiTheme="minorHAnsi" w:cs="Segoe UI"/>
          <w:lang w:eastAsia="en-GB"/>
        </w:rPr>
      </w:pPr>
    </w:p>
    <w:p w:rsidR="00A80A37" w:rsidRDefault="00935B50" w:rsidP="00B90072">
      <w:pPr>
        <w:rPr>
          <w:rFonts w:asciiTheme="minorHAnsi" w:hAnsiTheme="minorHAnsi" w:cs="Segoe UI"/>
          <w:lang w:eastAsia="en-GB"/>
        </w:rPr>
      </w:pPr>
      <w:proofErr w:type="spellStart"/>
      <w:r>
        <w:rPr>
          <w:rFonts w:ascii="Calibri" w:hAnsi="Calibri" w:cs="Calibri"/>
          <w:lang w:val="en-GB" w:eastAsia="ja-JP"/>
        </w:rPr>
        <w:t>BioMatrix</w:t>
      </w:r>
      <w:proofErr w:type="spellEnd"/>
      <w:r>
        <w:rPr>
          <w:rFonts w:ascii="Calibri" w:hAnsi="Calibri" w:cs="Calibri"/>
          <w:lang w:val="en-GB" w:eastAsia="ja-JP"/>
        </w:rPr>
        <w:t xml:space="preserve"> </w:t>
      </w:r>
      <w:proofErr w:type="spellStart"/>
      <w:r>
        <w:rPr>
          <w:rFonts w:ascii="Calibri" w:hAnsi="Calibri" w:cs="Calibri"/>
          <w:lang w:val="en-GB" w:eastAsia="ja-JP"/>
        </w:rPr>
        <w:t>NeoF</w:t>
      </w:r>
      <w:r w:rsidR="00A80A37">
        <w:rPr>
          <w:rFonts w:ascii="Calibri" w:hAnsi="Calibri" w:cs="Calibri"/>
          <w:lang w:val="en-GB" w:eastAsia="ja-JP"/>
        </w:rPr>
        <w:t>lex</w:t>
      </w:r>
      <w:proofErr w:type="spellEnd"/>
      <w:r w:rsidR="00A80A37">
        <w:rPr>
          <w:rFonts w:ascii="Calibri" w:hAnsi="Calibri" w:cs="Calibri"/>
          <w:lang w:val="en-GB" w:eastAsia="ja-JP"/>
        </w:rPr>
        <w:t xml:space="preserve"> will be rolled out in all CE Mark global markets </w:t>
      </w:r>
      <w:r w:rsidR="00DA108A">
        <w:rPr>
          <w:rFonts w:ascii="Calibri" w:hAnsi="Calibri" w:cs="Calibri"/>
          <w:lang w:val="en-GB" w:eastAsia="ja-JP"/>
        </w:rPr>
        <w:t>over the coming months</w:t>
      </w:r>
      <w:r w:rsidR="00052ACA">
        <w:rPr>
          <w:rFonts w:ascii="Calibri" w:hAnsi="Calibri" w:cs="Calibri"/>
          <w:lang w:val="en-GB" w:eastAsia="ja-JP"/>
        </w:rPr>
        <w:t xml:space="preserve">. </w:t>
      </w:r>
    </w:p>
    <w:p w:rsidR="00DB768A" w:rsidRDefault="00DB768A" w:rsidP="00DB768A">
      <w:pPr>
        <w:jc w:val="both"/>
        <w:rPr>
          <w:rFonts w:asciiTheme="minorHAnsi" w:hAnsiTheme="minorHAnsi" w:cs="Arial"/>
        </w:rPr>
      </w:pPr>
    </w:p>
    <w:p w:rsidR="00E33614" w:rsidRPr="00E33614" w:rsidRDefault="00E33614" w:rsidP="00DB768A">
      <w:pPr>
        <w:jc w:val="both"/>
        <w:rPr>
          <w:rFonts w:asciiTheme="minorHAnsi" w:hAnsiTheme="minorHAnsi" w:cs="Arial"/>
        </w:rPr>
      </w:pPr>
    </w:p>
    <w:p w:rsidR="00BE5B4D" w:rsidRDefault="00BE5B4D" w:rsidP="00BE5B4D">
      <w:pPr>
        <w:spacing w:after="120"/>
        <w:jc w:val="center"/>
        <w:rPr>
          <w:rFonts w:ascii="Arial" w:hAnsi="Arial" w:cs="Arial"/>
          <w:sz w:val="22"/>
          <w:szCs w:val="22"/>
        </w:rPr>
      </w:pPr>
      <w:r>
        <w:rPr>
          <w:rFonts w:ascii="Arial" w:hAnsi="Arial" w:cs="Arial"/>
          <w:b/>
          <w:bCs/>
          <w:sz w:val="22"/>
          <w:szCs w:val="22"/>
        </w:rPr>
        <w:t>###</w:t>
      </w:r>
    </w:p>
    <w:p w:rsidR="00BE5B4D" w:rsidRPr="00CC64E9" w:rsidRDefault="00BE5B4D" w:rsidP="00BE5B4D">
      <w:pPr>
        <w:autoSpaceDE w:val="0"/>
        <w:autoSpaceDN w:val="0"/>
        <w:adjustRightInd w:val="0"/>
        <w:rPr>
          <w:rFonts w:ascii="Calibri" w:hAnsi="Calibri"/>
          <w:b/>
          <w:bCs/>
        </w:rPr>
      </w:pPr>
      <w:r w:rsidRPr="00CC64E9">
        <w:rPr>
          <w:rFonts w:ascii="Calibri" w:hAnsi="Calibri"/>
          <w:b/>
          <w:bCs/>
        </w:rPr>
        <w:t>For further information, please contact:</w:t>
      </w:r>
    </w:p>
    <w:p w:rsidR="00BE5B4D" w:rsidRDefault="00BE5B4D" w:rsidP="00BE5B4D">
      <w:pPr>
        <w:autoSpaceDE w:val="0"/>
        <w:autoSpaceDN w:val="0"/>
        <w:adjustRightInd w:val="0"/>
        <w:rPr>
          <w:rFonts w:ascii="Calibri" w:hAnsi="Calibri"/>
          <w:b/>
          <w:bCs/>
        </w:rPr>
      </w:pPr>
    </w:p>
    <w:tbl>
      <w:tblPr>
        <w:tblW w:w="0" w:type="auto"/>
        <w:tblLook w:val="04A0" w:firstRow="1" w:lastRow="0" w:firstColumn="1" w:lastColumn="0" w:noHBand="0" w:noVBand="1"/>
      </w:tblPr>
      <w:tblGrid>
        <w:gridCol w:w="4633"/>
        <w:gridCol w:w="4612"/>
      </w:tblGrid>
      <w:tr w:rsidR="00BE5B4D" w:rsidRPr="003F3497" w:rsidTr="00FB04E2">
        <w:tc>
          <w:tcPr>
            <w:tcW w:w="5342" w:type="dxa"/>
          </w:tcPr>
          <w:p w:rsidR="00BE5B4D" w:rsidRPr="00FB04E2" w:rsidRDefault="00BE5B4D" w:rsidP="00FB04E2">
            <w:pPr>
              <w:autoSpaceDE w:val="0"/>
              <w:autoSpaceDN w:val="0"/>
              <w:adjustRightInd w:val="0"/>
              <w:jc w:val="both"/>
              <w:rPr>
                <w:rFonts w:ascii="Calibri" w:hAnsi="Calibri" w:cs="Calibri"/>
                <w:u w:val="single"/>
              </w:rPr>
            </w:pPr>
            <w:r w:rsidRPr="00FB04E2">
              <w:rPr>
                <w:rFonts w:ascii="Calibri" w:hAnsi="Calibri" w:cs="Calibri"/>
                <w:u w:val="single"/>
              </w:rPr>
              <w:t>Corporate Communications</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Richard Kenyon</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Biosensors International Group</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+44 7831 569940</w:t>
            </w:r>
          </w:p>
          <w:p w:rsidR="00BE5B4D" w:rsidRPr="00FB04E2" w:rsidRDefault="00231CFA" w:rsidP="00FB04E2">
            <w:pPr>
              <w:autoSpaceDE w:val="0"/>
              <w:autoSpaceDN w:val="0"/>
              <w:adjustRightInd w:val="0"/>
              <w:jc w:val="both"/>
              <w:rPr>
                <w:rFonts w:ascii="Calibri" w:hAnsi="Calibri" w:cs="Calibri"/>
              </w:rPr>
            </w:pPr>
            <w:hyperlink r:id="rId9" w:history="1">
              <w:r w:rsidR="00BE5B4D" w:rsidRPr="00FB04E2">
                <w:rPr>
                  <w:rStyle w:val="Hyperlink"/>
                  <w:rFonts w:ascii="Calibri" w:hAnsi="Calibri" w:cs="Calibri"/>
                </w:rPr>
                <w:t>r.kenyon@biosensors.com</w:t>
              </w:r>
            </w:hyperlink>
          </w:p>
          <w:p w:rsidR="00BE5B4D" w:rsidRPr="00FB04E2" w:rsidRDefault="00BE5B4D" w:rsidP="00FB04E2">
            <w:pPr>
              <w:autoSpaceDE w:val="0"/>
              <w:autoSpaceDN w:val="0"/>
              <w:adjustRightInd w:val="0"/>
              <w:jc w:val="both"/>
              <w:rPr>
                <w:rFonts w:ascii="Calibri" w:hAnsi="Calibri" w:cs="Calibri"/>
                <w:u w:val="single"/>
              </w:rPr>
            </w:pPr>
          </w:p>
        </w:tc>
        <w:tc>
          <w:tcPr>
            <w:tcW w:w="5343" w:type="dxa"/>
          </w:tcPr>
          <w:p w:rsidR="00BE5B4D" w:rsidRPr="00FB04E2" w:rsidRDefault="00BE5B4D" w:rsidP="00FB04E2">
            <w:pPr>
              <w:autoSpaceDE w:val="0"/>
              <w:autoSpaceDN w:val="0"/>
              <w:adjustRightInd w:val="0"/>
              <w:rPr>
                <w:rFonts w:ascii="Calibri" w:hAnsi="Calibri" w:cs="Calibri"/>
                <w:u w:val="single"/>
              </w:rPr>
            </w:pPr>
            <w:r w:rsidRPr="00FB04E2">
              <w:rPr>
                <w:rFonts w:ascii="Calibri" w:hAnsi="Calibri" w:cs="Calibri"/>
                <w:u w:val="single"/>
              </w:rPr>
              <w:t>Investor Relations</w:t>
            </w:r>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 xml:space="preserve">Wong </w:t>
            </w:r>
            <w:proofErr w:type="spellStart"/>
            <w:r w:rsidRPr="00FB04E2">
              <w:rPr>
                <w:rFonts w:ascii="Calibri" w:hAnsi="Calibri" w:cs="Calibri"/>
              </w:rPr>
              <w:t>Teck</w:t>
            </w:r>
            <w:proofErr w:type="spellEnd"/>
            <w:r w:rsidRPr="00FB04E2">
              <w:rPr>
                <w:rFonts w:ascii="Calibri" w:hAnsi="Calibri" w:cs="Calibri"/>
              </w:rPr>
              <w:t xml:space="preserve"> </w:t>
            </w:r>
            <w:proofErr w:type="spellStart"/>
            <w:r w:rsidRPr="00FB04E2">
              <w:rPr>
                <w:rFonts w:ascii="Calibri" w:hAnsi="Calibri" w:cs="Calibri"/>
              </w:rPr>
              <w:t>Yenn</w:t>
            </w:r>
            <w:proofErr w:type="spellEnd"/>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Biosensors International Group</w:t>
            </w:r>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+65 6213 5708</w:t>
            </w:r>
          </w:p>
          <w:p w:rsidR="00BE5B4D" w:rsidRPr="00FB04E2" w:rsidRDefault="00231CFA" w:rsidP="00FB04E2">
            <w:pPr>
              <w:autoSpaceDE w:val="0"/>
              <w:autoSpaceDN w:val="0"/>
              <w:adjustRightInd w:val="0"/>
              <w:rPr>
                <w:rFonts w:ascii="Calibri" w:hAnsi="Calibri" w:cs="Calibri"/>
              </w:rPr>
            </w:pPr>
            <w:hyperlink r:id="rId10" w:history="1">
              <w:r w:rsidR="00BE5B4D" w:rsidRPr="00FB04E2">
                <w:rPr>
                  <w:rStyle w:val="Hyperlink"/>
                  <w:rFonts w:ascii="Calibri" w:hAnsi="Calibri" w:cs="Calibri"/>
                </w:rPr>
                <w:t>ty.wong@biosensors.com</w:t>
              </w:r>
            </w:hyperlink>
          </w:p>
          <w:p w:rsidR="00BE5B4D" w:rsidRPr="00FB04E2" w:rsidRDefault="00BE5B4D" w:rsidP="00FB04E2">
            <w:pPr>
              <w:autoSpaceDE w:val="0"/>
              <w:autoSpaceDN w:val="0"/>
              <w:adjustRightInd w:val="0"/>
              <w:jc w:val="both"/>
              <w:rPr>
                <w:rFonts w:ascii="Calibri" w:hAnsi="Calibri" w:cs="Calibri"/>
                <w:u w:val="single"/>
              </w:rPr>
            </w:pPr>
          </w:p>
        </w:tc>
      </w:tr>
    </w:tbl>
    <w:p w:rsidR="008578BC" w:rsidRPr="0062179A" w:rsidRDefault="008578BC" w:rsidP="008578BC">
      <w:pPr>
        <w:autoSpaceDE w:val="0"/>
        <w:autoSpaceDN w:val="0"/>
        <w:adjustRightInd w:val="0"/>
        <w:outlineLvl w:val="0"/>
        <w:rPr>
          <w:rFonts w:ascii="Arial" w:hAnsi="Arial" w:cs="Arial"/>
          <w:b/>
          <w:bCs/>
          <w:color w:val="000000"/>
          <w:sz w:val="20"/>
          <w:szCs w:val="20"/>
        </w:rPr>
      </w:pPr>
      <w:r w:rsidRPr="0062179A">
        <w:rPr>
          <w:rFonts w:ascii="Arial" w:hAnsi="Arial" w:cs="Arial"/>
          <w:b/>
          <w:bCs/>
          <w:color w:val="000000"/>
          <w:sz w:val="20"/>
          <w:szCs w:val="20"/>
        </w:rPr>
        <w:lastRenderedPageBreak/>
        <w:t>About Biosensors International Group, Ltd</w:t>
      </w:r>
    </w:p>
    <w:p w:rsidR="008578BC" w:rsidRDefault="008578BC" w:rsidP="008578BC">
      <w:pPr>
        <w:autoSpaceDE w:val="0"/>
        <w:autoSpaceDN w:val="0"/>
        <w:adjustRightInd w:val="0"/>
        <w:jc w:val="both"/>
        <w:rPr>
          <w:rFonts w:ascii="Arial" w:hAnsi="Arial" w:cs="Arial"/>
          <w:color w:val="000000"/>
          <w:sz w:val="20"/>
          <w:szCs w:val="20"/>
        </w:rPr>
      </w:pPr>
    </w:p>
    <w:p w:rsidR="008578BC" w:rsidRPr="0062179A" w:rsidRDefault="008578BC" w:rsidP="008578BC">
      <w:pPr>
        <w:autoSpaceDE w:val="0"/>
        <w:autoSpaceDN w:val="0"/>
        <w:adjustRightInd w:val="0"/>
        <w:jc w:val="both"/>
        <w:rPr>
          <w:rFonts w:ascii="Arial" w:hAnsi="Arial" w:cs="Arial"/>
          <w:color w:val="000000"/>
          <w:sz w:val="20"/>
          <w:szCs w:val="20"/>
        </w:rPr>
      </w:pPr>
      <w:bookmarkStart w:id="0" w:name="_GoBack"/>
      <w:bookmarkEnd w:id="0"/>
      <w:r w:rsidRPr="0062179A">
        <w:rPr>
          <w:rFonts w:ascii="Arial" w:hAnsi="Arial" w:cs="Arial"/>
          <w:color w:val="000000"/>
          <w:sz w:val="20"/>
          <w:szCs w:val="20"/>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8578BC" w:rsidRPr="0062179A" w:rsidRDefault="008578BC" w:rsidP="008578BC">
      <w:pPr>
        <w:autoSpaceDE w:val="0"/>
        <w:autoSpaceDN w:val="0"/>
        <w:adjustRightInd w:val="0"/>
        <w:jc w:val="both"/>
        <w:rPr>
          <w:rFonts w:ascii="Arial" w:hAnsi="Arial" w:cs="Arial"/>
          <w:color w:val="000000"/>
          <w:sz w:val="20"/>
          <w:szCs w:val="20"/>
        </w:rPr>
      </w:pPr>
    </w:p>
    <w:p w:rsidR="008578BC" w:rsidRPr="0062179A" w:rsidRDefault="008578BC" w:rsidP="008578BC">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 xml:space="preserve">With the increasing use of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family of drug-eluting stents and the recent launch of our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self-expanding bifurcation drug-eluting stent, we are rapidly emerging as a leader in the global coronary stent market. The development of the </w:t>
      </w:r>
      <w:proofErr w:type="spellStart"/>
      <w:r w:rsidRPr="0062179A">
        <w:rPr>
          <w:rFonts w:ascii="Arial" w:hAnsi="Arial" w:cs="Arial"/>
          <w:color w:val="000000"/>
          <w:sz w:val="20"/>
          <w:szCs w:val="20"/>
        </w:rPr>
        <w:t>BioFreedom</w:t>
      </w:r>
      <w:proofErr w:type="spellEnd"/>
      <w:r w:rsidRPr="0062179A">
        <w:rPr>
          <w:rFonts w:ascii="Arial" w:hAnsi="Arial" w:cs="Arial"/>
          <w:color w:val="000000"/>
          <w:sz w:val="20"/>
          <w:szCs w:val="20"/>
        </w:rPr>
        <w:t>™ drug-coated stent will further reinforce our market position.</w:t>
      </w:r>
    </w:p>
    <w:p w:rsidR="008578BC" w:rsidRPr="0062179A" w:rsidRDefault="008578BC" w:rsidP="008578BC">
      <w:pPr>
        <w:autoSpaceDE w:val="0"/>
        <w:autoSpaceDN w:val="0"/>
        <w:adjustRightInd w:val="0"/>
        <w:jc w:val="both"/>
        <w:rPr>
          <w:rFonts w:ascii="Arial" w:hAnsi="Arial" w:cs="Arial"/>
          <w:color w:val="000000"/>
          <w:sz w:val="20"/>
          <w:szCs w:val="20"/>
        </w:rPr>
      </w:pPr>
    </w:p>
    <w:p w:rsidR="008578BC" w:rsidRPr="0062179A" w:rsidRDefault="008578BC" w:rsidP="008578BC">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 xml:space="preserve">All three stents incorporate </w:t>
      </w:r>
      <w:proofErr w:type="spellStart"/>
      <w:r w:rsidRPr="0062179A">
        <w:rPr>
          <w:rFonts w:ascii="Arial" w:hAnsi="Arial" w:cs="Arial"/>
          <w:color w:val="000000"/>
          <w:sz w:val="20"/>
          <w:szCs w:val="20"/>
        </w:rPr>
        <w:t>Biolimus</w:t>
      </w:r>
      <w:proofErr w:type="spellEnd"/>
      <w:r w:rsidRPr="0062179A">
        <w:rPr>
          <w:rFonts w:ascii="Arial" w:hAnsi="Arial" w:cs="Arial"/>
          <w:color w:val="000000"/>
          <w:sz w:val="20"/>
          <w:szCs w:val="20"/>
        </w:rPr>
        <w:t xml:space="preserve"> A9™ (BA9™), an anti-</w:t>
      </w:r>
      <w:proofErr w:type="spellStart"/>
      <w:r w:rsidRPr="0062179A">
        <w:rPr>
          <w:rFonts w:ascii="Arial" w:hAnsi="Arial" w:cs="Arial"/>
          <w:color w:val="000000"/>
          <w:sz w:val="20"/>
          <w:szCs w:val="20"/>
        </w:rPr>
        <w:t>restenotic</w:t>
      </w:r>
      <w:proofErr w:type="spellEnd"/>
      <w:r w:rsidRPr="0062179A">
        <w:rPr>
          <w:rFonts w:ascii="Arial" w:hAnsi="Arial" w:cs="Arial"/>
          <w:color w:val="000000"/>
          <w:sz w:val="20"/>
          <w:szCs w:val="20"/>
        </w:rPr>
        <w:t xml:space="preserve"> drug developed and patented by Biosensors specifically for use with stents. Both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stent family and the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stent feature a unique </w:t>
      </w:r>
      <w:proofErr w:type="spellStart"/>
      <w:r w:rsidRPr="0062179A">
        <w:rPr>
          <w:rFonts w:ascii="Arial" w:hAnsi="Arial" w:cs="Arial"/>
          <w:color w:val="000000"/>
          <w:sz w:val="20"/>
          <w:szCs w:val="20"/>
        </w:rPr>
        <w:t>abluminal</w:t>
      </w:r>
      <w:proofErr w:type="spellEnd"/>
      <w:r w:rsidRPr="0062179A">
        <w:rPr>
          <w:rFonts w:ascii="Arial" w:hAnsi="Arial" w:cs="Arial"/>
          <w:color w:val="000000"/>
          <w:sz w:val="20"/>
          <w:szCs w:val="20"/>
        </w:rPr>
        <w:t xml:space="preserve"> biodegradable polymer coating, which fully degrades into carbon dioxide and water after six to nine months as it releases BA9.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stent family features workhorse stent platforms for a broad range of lesions, and the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stent employs a self-expanding stent platform specifically designed for treating bifurcation lesions. </w:t>
      </w:r>
      <w:proofErr w:type="spellStart"/>
      <w:r w:rsidRPr="0062179A">
        <w:rPr>
          <w:rFonts w:ascii="Arial" w:hAnsi="Arial" w:cs="Arial"/>
          <w:color w:val="000000"/>
          <w:sz w:val="20"/>
          <w:szCs w:val="20"/>
        </w:rPr>
        <w:t>BioFreedom</w:t>
      </w:r>
      <w:proofErr w:type="spellEnd"/>
      <w:r w:rsidRPr="0062179A">
        <w:rPr>
          <w:rFonts w:ascii="Arial" w:hAnsi="Arial" w:cs="Arial"/>
          <w:color w:val="000000"/>
          <w:sz w:val="20"/>
          <w:szCs w:val="20"/>
        </w:rPr>
        <w:t>, a completely polymer</w:t>
      </w:r>
      <w:r w:rsidRPr="0062179A">
        <w:rPr>
          <w:rFonts w:ascii="Cambria Math" w:hAnsi="Cambria Math" w:cs="Cambria Math"/>
          <w:color w:val="000000"/>
          <w:sz w:val="20"/>
          <w:szCs w:val="20"/>
        </w:rPr>
        <w:t>‐</w:t>
      </w:r>
      <w:r w:rsidRPr="0062179A">
        <w:rPr>
          <w:rFonts w:ascii="Arial" w:hAnsi="Arial" w:cs="Arial"/>
          <w:color w:val="000000"/>
          <w:sz w:val="20"/>
          <w:szCs w:val="20"/>
        </w:rPr>
        <w:t xml:space="preserve">free stent </w:t>
      </w:r>
      <w:proofErr w:type="spellStart"/>
      <w:r w:rsidRPr="0062179A">
        <w:rPr>
          <w:rFonts w:ascii="Arial" w:hAnsi="Arial" w:cs="Arial"/>
          <w:color w:val="000000"/>
          <w:sz w:val="20"/>
          <w:szCs w:val="20"/>
        </w:rPr>
        <w:t>abluminally</w:t>
      </w:r>
      <w:proofErr w:type="spellEnd"/>
      <w:r w:rsidRPr="0062179A">
        <w:rPr>
          <w:rFonts w:ascii="Arial" w:hAnsi="Arial" w:cs="Arial"/>
          <w:color w:val="000000"/>
          <w:sz w:val="20"/>
          <w:szCs w:val="20"/>
        </w:rPr>
        <w:t xml:space="preserve"> coated with BA9, received CE Mark Approval in January 2013.</w:t>
      </w:r>
    </w:p>
    <w:p w:rsidR="008578BC" w:rsidRPr="0062179A" w:rsidRDefault="008578BC" w:rsidP="008578BC">
      <w:pPr>
        <w:autoSpaceDE w:val="0"/>
        <w:autoSpaceDN w:val="0"/>
        <w:adjustRightInd w:val="0"/>
        <w:jc w:val="both"/>
        <w:rPr>
          <w:rFonts w:ascii="Arial" w:hAnsi="Arial" w:cs="Arial"/>
          <w:color w:val="000000"/>
          <w:sz w:val="20"/>
          <w:szCs w:val="20"/>
        </w:rPr>
      </w:pPr>
    </w:p>
    <w:p w:rsidR="008578BC" w:rsidRPr="0062179A" w:rsidRDefault="008578BC" w:rsidP="008578BC">
      <w:pPr>
        <w:autoSpaceDE w:val="0"/>
        <w:autoSpaceDN w:val="0"/>
        <w:adjustRightInd w:val="0"/>
        <w:jc w:val="both"/>
        <w:outlineLvl w:val="0"/>
        <w:rPr>
          <w:rFonts w:ascii="Arial" w:hAnsi="Arial" w:cs="Arial"/>
          <w:color w:val="000000"/>
          <w:sz w:val="20"/>
          <w:szCs w:val="20"/>
        </w:rPr>
      </w:pPr>
      <w:r w:rsidRPr="0062179A">
        <w:rPr>
          <w:rFonts w:ascii="Arial" w:hAnsi="Arial" w:cs="Arial"/>
          <w:color w:val="000000"/>
          <w:sz w:val="20"/>
          <w:szCs w:val="20"/>
        </w:rPr>
        <w:t xml:space="preserve">For more information, please visit </w:t>
      </w:r>
      <w:hyperlink w:history="1">
        <w:r w:rsidRPr="0062179A">
          <w:rPr>
            <w:rStyle w:val="Hyperlink"/>
            <w:rFonts w:ascii="Arial" w:hAnsi="Arial" w:cs="Arial"/>
            <w:sz w:val="20"/>
            <w:szCs w:val="20"/>
          </w:rPr>
          <w:t>www.biosensors .com</w:t>
        </w:r>
      </w:hyperlink>
    </w:p>
    <w:p w:rsidR="008578BC" w:rsidRDefault="008578BC" w:rsidP="00BE5B4D">
      <w:pPr>
        <w:autoSpaceDE w:val="0"/>
        <w:autoSpaceDN w:val="0"/>
        <w:adjustRightInd w:val="0"/>
        <w:jc w:val="both"/>
        <w:rPr>
          <w:rFonts w:ascii="Calibri" w:hAnsi="Calibri" w:cs="Calibri"/>
        </w:rPr>
      </w:pPr>
    </w:p>
    <w:sectPr w:rsidR="008578BC" w:rsidSect="0046241E">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FA" w:rsidRDefault="00231CFA">
      <w:r>
        <w:separator/>
      </w:r>
    </w:p>
  </w:endnote>
  <w:endnote w:type="continuationSeparator" w:id="0">
    <w:p w:rsidR="00231CFA" w:rsidRDefault="002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FA" w:rsidRDefault="00231CFA">
      <w:r>
        <w:separator/>
      </w:r>
    </w:p>
  </w:footnote>
  <w:footnote w:type="continuationSeparator" w:id="0">
    <w:p w:rsidR="00231CFA" w:rsidRDefault="00231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8">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9">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32451"/>
    <w:rsid w:val="00052ACA"/>
    <w:rsid w:val="000562A9"/>
    <w:rsid w:val="000728FA"/>
    <w:rsid w:val="00073083"/>
    <w:rsid w:val="000758E6"/>
    <w:rsid w:val="00092818"/>
    <w:rsid w:val="000929AC"/>
    <w:rsid w:val="000A6401"/>
    <w:rsid w:val="000A78E0"/>
    <w:rsid w:val="000C059A"/>
    <w:rsid w:val="000D1B24"/>
    <w:rsid w:val="000D343B"/>
    <w:rsid w:val="000E35FC"/>
    <w:rsid w:val="000F7A18"/>
    <w:rsid w:val="00110D84"/>
    <w:rsid w:val="001204BD"/>
    <w:rsid w:val="00121E92"/>
    <w:rsid w:val="001228AA"/>
    <w:rsid w:val="001303AB"/>
    <w:rsid w:val="00131056"/>
    <w:rsid w:val="001342FB"/>
    <w:rsid w:val="00136053"/>
    <w:rsid w:val="001554CE"/>
    <w:rsid w:val="00157FDA"/>
    <w:rsid w:val="0016081E"/>
    <w:rsid w:val="001608B3"/>
    <w:rsid w:val="0016196E"/>
    <w:rsid w:val="00161A94"/>
    <w:rsid w:val="00162E5A"/>
    <w:rsid w:val="001640A3"/>
    <w:rsid w:val="00165171"/>
    <w:rsid w:val="00167530"/>
    <w:rsid w:val="00174612"/>
    <w:rsid w:val="0018064E"/>
    <w:rsid w:val="00180C30"/>
    <w:rsid w:val="00187C2B"/>
    <w:rsid w:val="001921BB"/>
    <w:rsid w:val="001943DB"/>
    <w:rsid w:val="0019570C"/>
    <w:rsid w:val="00196233"/>
    <w:rsid w:val="001A0141"/>
    <w:rsid w:val="001A27D6"/>
    <w:rsid w:val="001B1720"/>
    <w:rsid w:val="001D303F"/>
    <w:rsid w:val="001D3B51"/>
    <w:rsid w:val="00204F8F"/>
    <w:rsid w:val="00211F45"/>
    <w:rsid w:val="00231CFA"/>
    <w:rsid w:val="002321C3"/>
    <w:rsid w:val="00246D03"/>
    <w:rsid w:val="002509E5"/>
    <w:rsid w:val="002565A9"/>
    <w:rsid w:val="00275CD0"/>
    <w:rsid w:val="002945E4"/>
    <w:rsid w:val="00294D02"/>
    <w:rsid w:val="002A6B64"/>
    <w:rsid w:val="002A7329"/>
    <w:rsid w:val="002D7D93"/>
    <w:rsid w:val="002E0AF0"/>
    <w:rsid w:val="002F20D0"/>
    <w:rsid w:val="002F2FD3"/>
    <w:rsid w:val="002F36C3"/>
    <w:rsid w:val="00333354"/>
    <w:rsid w:val="003339A7"/>
    <w:rsid w:val="0033725F"/>
    <w:rsid w:val="00343451"/>
    <w:rsid w:val="00355084"/>
    <w:rsid w:val="00355BA9"/>
    <w:rsid w:val="003606E8"/>
    <w:rsid w:val="00372E7F"/>
    <w:rsid w:val="003765C1"/>
    <w:rsid w:val="0038613D"/>
    <w:rsid w:val="003C3FBC"/>
    <w:rsid w:val="003C4184"/>
    <w:rsid w:val="003D4130"/>
    <w:rsid w:val="003D7527"/>
    <w:rsid w:val="003D7E45"/>
    <w:rsid w:val="003F5C6A"/>
    <w:rsid w:val="003F5D68"/>
    <w:rsid w:val="00400C09"/>
    <w:rsid w:val="00405B60"/>
    <w:rsid w:val="00421C64"/>
    <w:rsid w:val="004247F7"/>
    <w:rsid w:val="0044091F"/>
    <w:rsid w:val="00442009"/>
    <w:rsid w:val="004533AE"/>
    <w:rsid w:val="0046241E"/>
    <w:rsid w:val="00474C73"/>
    <w:rsid w:val="004B04FF"/>
    <w:rsid w:val="004B30B6"/>
    <w:rsid w:val="004B5F00"/>
    <w:rsid w:val="004D5C09"/>
    <w:rsid w:val="005147AF"/>
    <w:rsid w:val="00543ABC"/>
    <w:rsid w:val="005805FF"/>
    <w:rsid w:val="00596C76"/>
    <w:rsid w:val="005A018B"/>
    <w:rsid w:val="005A0DA6"/>
    <w:rsid w:val="005A63DD"/>
    <w:rsid w:val="005B48CC"/>
    <w:rsid w:val="005C24CC"/>
    <w:rsid w:val="005D65A0"/>
    <w:rsid w:val="00605F33"/>
    <w:rsid w:val="00620576"/>
    <w:rsid w:val="00620E69"/>
    <w:rsid w:val="00640E20"/>
    <w:rsid w:val="006415FC"/>
    <w:rsid w:val="0064548E"/>
    <w:rsid w:val="006510C2"/>
    <w:rsid w:val="00651522"/>
    <w:rsid w:val="00662B34"/>
    <w:rsid w:val="006720F0"/>
    <w:rsid w:val="0067421F"/>
    <w:rsid w:val="0067453A"/>
    <w:rsid w:val="00675A7F"/>
    <w:rsid w:val="006976ED"/>
    <w:rsid w:val="006A3707"/>
    <w:rsid w:val="006A6933"/>
    <w:rsid w:val="006B3D02"/>
    <w:rsid w:val="006B6F5A"/>
    <w:rsid w:val="006C18E4"/>
    <w:rsid w:val="006C4C46"/>
    <w:rsid w:val="006D1BEC"/>
    <w:rsid w:val="006F0720"/>
    <w:rsid w:val="006F0F42"/>
    <w:rsid w:val="00700CD7"/>
    <w:rsid w:val="00701A7F"/>
    <w:rsid w:val="00705164"/>
    <w:rsid w:val="00706F3A"/>
    <w:rsid w:val="00712357"/>
    <w:rsid w:val="007160BE"/>
    <w:rsid w:val="00716822"/>
    <w:rsid w:val="00716B96"/>
    <w:rsid w:val="00716BAF"/>
    <w:rsid w:val="00717947"/>
    <w:rsid w:val="00722F51"/>
    <w:rsid w:val="007306CF"/>
    <w:rsid w:val="007503F5"/>
    <w:rsid w:val="007526A0"/>
    <w:rsid w:val="00757326"/>
    <w:rsid w:val="007639E1"/>
    <w:rsid w:val="00766BC6"/>
    <w:rsid w:val="00774380"/>
    <w:rsid w:val="007925CF"/>
    <w:rsid w:val="007C027E"/>
    <w:rsid w:val="007C068E"/>
    <w:rsid w:val="007C1438"/>
    <w:rsid w:val="007C3222"/>
    <w:rsid w:val="007D745D"/>
    <w:rsid w:val="007E3ECB"/>
    <w:rsid w:val="007F722F"/>
    <w:rsid w:val="008029DD"/>
    <w:rsid w:val="00804970"/>
    <w:rsid w:val="00805D87"/>
    <w:rsid w:val="00813EF1"/>
    <w:rsid w:val="00814DE7"/>
    <w:rsid w:val="00834CDD"/>
    <w:rsid w:val="0083539F"/>
    <w:rsid w:val="00840467"/>
    <w:rsid w:val="008458A3"/>
    <w:rsid w:val="00846FD2"/>
    <w:rsid w:val="00852370"/>
    <w:rsid w:val="008578BC"/>
    <w:rsid w:val="00860AE2"/>
    <w:rsid w:val="00870C34"/>
    <w:rsid w:val="00885580"/>
    <w:rsid w:val="00896E69"/>
    <w:rsid w:val="00897A4E"/>
    <w:rsid w:val="008A3B3C"/>
    <w:rsid w:val="008C0E82"/>
    <w:rsid w:val="008E5204"/>
    <w:rsid w:val="009051FF"/>
    <w:rsid w:val="00916090"/>
    <w:rsid w:val="00921989"/>
    <w:rsid w:val="0092332E"/>
    <w:rsid w:val="00933AFD"/>
    <w:rsid w:val="00935B50"/>
    <w:rsid w:val="009410F9"/>
    <w:rsid w:val="0094378D"/>
    <w:rsid w:val="0095093C"/>
    <w:rsid w:val="00977ADB"/>
    <w:rsid w:val="00996346"/>
    <w:rsid w:val="00997BB3"/>
    <w:rsid w:val="009A189D"/>
    <w:rsid w:val="009A60B0"/>
    <w:rsid w:val="009A6930"/>
    <w:rsid w:val="009A6F6B"/>
    <w:rsid w:val="009B49A3"/>
    <w:rsid w:val="009B7424"/>
    <w:rsid w:val="009C7EB7"/>
    <w:rsid w:val="009D21F4"/>
    <w:rsid w:val="009D6C6F"/>
    <w:rsid w:val="009D7273"/>
    <w:rsid w:val="009E2819"/>
    <w:rsid w:val="009F1663"/>
    <w:rsid w:val="009F2B68"/>
    <w:rsid w:val="009F2E6D"/>
    <w:rsid w:val="009F3A8E"/>
    <w:rsid w:val="00A005F7"/>
    <w:rsid w:val="00A012FE"/>
    <w:rsid w:val="00A054E5"/>
    <w:rsid w:val="00A11CBC"/>
    <w:rsid w:val="00A1666E"/>
    <w:rsid w:val="00A20DCE"/>
    <w:rsid w:val="00A21475"/>
    <w:rsid w:val="00A42EDB"/>
    <w:rsid w:val="00A46A56"/>
    <w:rsid w:val="00A668B7"/>
    <w:rsid w:val="00A74D89"/>
    <w:rsid w:val="00A74E09"/>
    <w:rsid w:val="00A77C31"/>
    <w:rsid w:val="00A80A37"/>
    <w:rsid w:val="00A85C84"/>
    <w:rsid w:val="00A863EF"/>
    <w:rsid w:val="00A92AEC"/>
    <w:rsid w:val="00A932F9"/>
    <w:rsid w:val="00A97B27"/>
    <w:rsid w:val="00AB3306"/>
    <w:rsid w:val="00AC49A7"/>
    <w:rsid w:val="00AD4B1F"/>
    <w:rsid w:val="00B00DE7"/>
    <w:rsid w:val="00B00E84"/>
    <w:rsid w:val="00B129E8"/>
    <w:rsid w:val="00B179C1"/>
    <w:rsid w:val="00B22269"/>
    <w:rsid w:val="00B35E75"/>
    <w:rsid w:val="00B435B0"/>
    <w:rsid w:val="00B50C91"/>
    <w:rsid w:val="00B50E90"/>
    <w:rsid w:val="00B72319"/>
    <w:rsid w:val="00B75C22"/>
    <w:rsid w:val="00B82B6F"/>
    <w:rsid w:val="00B84DD1"/>
    <w:rsid w:val="00B87E39"/>
    <w:rsid w:val="00B90072"/>
    <w:rsid w:val="00BA01D3"/>
    <w:rsid w:val="00BB5B7A"/>
    <w:rsid w:val="00BC3D92"/>
    <w:rsid w:val="00BD7B3D"/>
    <w:rsid w:val="00BE5B4D"/>
    <w:rsid w:val="00BF2215"/>
    <w:rsid w:val="00BF5FD3"/>
    <w:rsid w:val="00C00653"/>
    <w:rsid w:val="00C02555"/>
    <w:rsid w:val="00C333C9"/>
    <w:rsid w:val="00C36A6B"/>
    <w:rsid w:val="00C43D0F"/>
    <w:rsid w:val="00C45521"/>
    <w:rsid w:val="00C51A07"/>
    <w:rsid w:val="00C55AD2"/>
    <w:rsid w:val="00C73672"/>
    <w:rsid w:val="00C8040C"/>
    <w:rsid w:val="00C918BD"/>
    <w:rsid w:val="00CA0FD6"/>
    <w:rsid w:val="00CA4366"/>
    <w:rsid w:val="00CC4B18"/>
    <w:rsid w:val="00CC64E9"/>
    <w:rsid w:val="00CD72B0"/>
    <w:rsid w:val="00CE06E0"/>
    <w:rsid w:val="00CE472B"/>
    <w:rsid w:val="00CE7EC6"/>
    <w:rsid w:val="00CF67E1"/>
    <w:rsid w:val="00CF7D33"/>
    <w:rsid w:val="00D00703"/>
    <w:rsid w:val="00D06FD9"/>
    <w:rsid w:val="00D12303"/>
    <w:rsid w:val="00D13971"/>
    <w:rsid w:val="00D141F0"/>
    <w:rsid w:val="00D2175E"/>
    <w:rsid w:val="00D22E2D"/>
    <w:rsid w:val="00D2364C"/>
    <w:rsid w:val="00D30701"/>
    <w:rsid w:val="00D377BE"/>
    <w:rsid w:val="00D50578"/>
    <w:rsid w:val="00D65BF0"/>
    <w:rsid w:val="00D715DB"/>
    <w:rsid w:val="00D9173C"/>
    <w:rsid w:val="00DA108A"/>
    <w:rsid w:val="00DA178C"/>
    <w:rsid w:val="00DB1B47"/>
    <w:rsid w:val="00DB4475"/>
    <w:rsid w:val="00DB768A"/>
    <w:rsid w:val="00DD1515"/>
    <w:rsid w:val="00DF2290"/>
    <w:rsid w:val="00E052BC"/>
    <w:rsid w:val="00E0687A"/>
    <w:rsid w:val="00E10C44"/>
    <w:rsid w:val="00E25448"/>
    <w:rsid w:val="00E33614"/>
    <w:rsid w:val="00E369FD"/>
    <w:rsid w:val="00E44C43"/>
    <w:rsid w:val="00E46799"/>
    <w:rsid w:val="00E479EE"/>
    <w:rsid w:val="00E51BA3"/>
    <w:rsid w:val="00E52EF1"/>
    <w:rsid w:val="00E63175"/>
    <w:rsid w:val="00E644F1"/>
    <w:rsid w:val="00E64D5B"/>
    <w:rsid w:val="00E7500D"/>
    <w:rsid w:val="00E80675"/>
    <w:rsid w:val="00E81682"/>
    <w:rsid w:val="00E931EC"/>
    <w:rsid w:val="00EA36C9"/>
    <w:rsid w:val="00EB16F3"/>
    <w:rsid w:val="00EB1D23"/>
    <w:rsid w:val="00EB2590"/>
    <w:rsid w:val="00EC124E"/>
    <w:rsid w:val="00EC3355"/>
    <w:rsid w:val="00ED62C7"/>
    <w:rsid w:val="00EF0764"/>
    <w:rsid w:val="00EF0EFF"/>
    <w:rsid w:val="00EF4F4F"/>
    <w:rsid w:val="00EF7C58"/>
    <w:rsid w:val="00F02006"/>
    <w:rsid w:val="00F07537"/>
    <w:rsid w:val="00F42147"/>
    <w:rsid w:val="00F43E22"/>
    <w:rsid w:val="00F62A14"/>
    <w:rsid w:val="00F63823"/>
    <w:rsid w:val="00F65C74"/>
    <w:rsid w:val="00F7036D"/>
    <w:rsid w:val="00F74E78"/>
    <w:rsid w:val="00F75988"/>
    <w:rsid w:val="00F76AF8"/>
    <w:rsid w:val="00F87343"/>
    <w:rsid w:val="00F95AD8"/>
    <w:rsid w:val="00FA0EFF"/>
    <w:rsid w:val="00FA15CE"/>
    <w:rsid w:val="00FB04E2"/>
    <w:rsid w:val="00FD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uiPriority w:val="99"/>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33614"/>
    <w:pPr>
      <w:widowControl w:val="0"/>
      <w:suppressAutoHyphens/>
      <w:autoSpaceDN w:val="0"/>
      <w:textAlignment w:val="baseline"/>
    </w:pPr>
    <w:rPr>
      <w:rFonts w:eastAsia="Arial Unicode MS" w:cs="Arial Unicode MS"/>
      <w:kern w:val="3"/>
      <w:sz w:val="24"/>
      <w:szCs w:val="24"/>
      <w:lang w:val="fr-CH"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uiPriority w:val="99"/>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33614"/>
    <w:pPr>
      <w:widowControl w:val="0"/>
      <w:suppressAutoHyphens/>
      <w:autoSpaceDN w:val="0"/>
      <w:textAlignment w:val="baseline"/>
    </w:pPr>
    <w:rPr>
      <w:rFonts w:eastAsia="Arial Unicode MS" w:cs="Arial Unicode MS"/>
      <w:kern w:val="3"/>
      <w:sz w:val="24"/>
      <w:szCs w:val="24"/>
      <w:lang w:val="fr-CH"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BioMatrix Neoflex CEM Release</vt:lpstr>
    </vt:vector>
  </TitlesOfParts>
  <Company>Biosensors</Company>
  <LinksUpToDate>false</LinksUpToDate>
  <CharactersWithSpaces>3566</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1572961</vt:i4>
      </vt:variant>
      <vt:variant>
        <vt:i4>3</vt:i4>
      </vt:variant>
      <vt:variant>
        <vt:i4>0</vt:i4>
      </vt:variant>
      <vt:variant>
        <vt:i4>5</vt:i4>
      </vt:variant>
      <vt:variant>
        <vt:lpwstr>mailto:ty.wong@biosensors.com</vt:lpwstr>
      </vt:variant>
      <vt:variant>
        <vt:lpwstr/>
      </vt:variant>
      <vt:variant>
        <vt:i4>6029374</vt:i4>
      </vt:variant>
      <vt:variant>
        <vt:i4>0</vt:i4>
      </vt:variant>
      <vt:variant>
        <vt:i4>0</vt:i4>
      </vt:variant>
      <vt:variant>
        <vt:i4>5</vt:i4>
      </vt:variant>
      <vt:variant>
        <vt:lpwstr>mailto:r.kenyon@biosensors.com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BioMatrix Neoflex CEM Release</dc:title>
  <dc:creator>Richard Kenyon</dc:creator>
  <cp:lastModifiedBy>Richard Kenyon</cp:lastModifiedBy>
  <cp:revision>2</cp:revision>
  <cp:lastPrinted>2013-05-19T08:59:00Z</cp:lastPrinted>
  <dcterms:created xsi:type="dcterms:W3CDTF">2013-05-20T00:32:00Z</dcterms:created>
  <dcterms:modified xsi:type="dcterms:W3CDTF">2013-05-20T00:32:00Z</dcterms:modified>
</cp:coreProperties>
</file>