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73" w:rsidRPr="00B03F73" w:rsidRDefault="005E7125" w:rsidP="005E7125">
      <w:pPr>
        <w:autoSpaceDE w:val="0"/>
        <w:autoSpaceDN w:val="0"/>
        <w:adjustRightInd w:val="0"/>
        <w:jc w:val="center"/>
        <w:rPr>
          <w:szCs w:val="22"/>
        </w:rPr>
      </w:pPr>
      <w:r>
        <w:rPr>
          <w:rFonts w:ascii="Arial" w:hAnsi="Arial" w:cs="Arial"/>
          <w:noProof/>
        </w:rPr>
        <w:drawing>
          <wp:inline distT="0" distB="0" distL="0" distR="0">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647973" w:rsidRDefault="00647973" w:rsidP="006F11D8">
      <w:pPr>
        <w:autoSpaceDE w:val="0"/>
        <w:autoSpaceDN w:val="0"/>
        <w:adjustRightInd w:val="0"/>
        <w:rPr>
          <w:rFonts w:ascii="Calibri" w:hAnsi="Calibri" w:cs="Calibri"/>
          <w:b/>
          <w:bCs/>
          <w:color w:val="000000"/>
          <w:sz w:val="28"/>
          <w:szCs w:val="28"/>
        </w:rPr>
      </w:pPr>
    </w:p>
    <w:p w:rsidR="00647973" w:rsidRPr="005E7125" w:rsidRDefault="00647973" w:rsidP="000B0266">
      <w:pPr>
        <w:autoSpaceDE w:val="0"/>
        <w:autoSpaceDN w:val="0"/>
        <w:adjustRightInd w:val="0"/>
        <w:jc w:val="center"/>
        <w:rPr>
          <w:rFonts w:ascii="Calibri" w:hAnsi="Calibri" w:cs="Calibri"/>
          <w:b/>
          <w:bCs/>
          <w:color w:val="000000"/>
          <w:sz w:val="44"/>
          <w:szCs w:val="44"/>
        </w:rPr>
      </w:pPr>
      <w:r w:rsidRPr="005E7125">
        <w:rPr>
          <w:rFonts w:ascii="Calibri" w:hAnsi="Calibri" w:cs="Calibri"/>
          <w:b/>
          <w:bCs/>
          <w:color w:val="000000"/>
          <w:sz w:val="44"/>
          <w:szCs w:val="44"/>
        </w:rPr>
        <w:t>NEWS RELEASE</w:t>
      </w:r>
    </w:p>
    <w:p w:rsidR="00647973" w:rsidRDefault="00647973" w:rsidP="006F11D8">
      <w:pPr>
        <w:autoSpaceDE w:val="0"/>
        <w:autoSpaceDN w:val="0"/>
        <w:adjustRightInd w:val="0"/>
        <w:rPr>
          <w:rFonts w:ascii="Calibri" w:hAnsi="Calibri" w:cs="Calibri"/>
          <w:b/>
          <w:bCs/>
          <w:color w:val="000000"/>
          <w:sz w:val="28"/>
          <w:szCs w:val="28"/>
        </w:rPr>
      </w:pPr>
    </w:p>
    <w:p w:rsidR="00647973" w:rsidRDefault="005E7125" w:rsidP="001977EE">
      <w:pPr>
        <w:autoSpaceDE w:val="0"/>
        <w:autoSpaceDN w:val="0"/>
        <w:adjustRightInd w:val="0"/>
        <w:jc w:val="center"/>
        <w:rPr>
          <w:rFonts w:ascii="Calibri" w:hAnsi="Calibri" w:cs="Arial"/>
          <w:b/>
          <w:bCs/>
          <w:sz w:val="32"/>
          <w:szCs w:val="32"/>
        </w:rPr>
      </w:pPr>
      <w:r>
        <w:rPr>
          <w:rFonts w:ascii="Calibri" w:hAnsi="Calibri" w:cs="Arial"/>
          <w:b/>
          <w:bCs/>
          <w:sz w:val="32"/>
          <w:szCs w:val="32"/>
        </w:rPr>
        <w:t xml:space="preserve">New </w:t>
      </w:r>
      <w:r w:rsidR="008F7D50">
        <w:rPr>
          <w:rFonts w:ascii="Calibri" w:hAnsi="Calibri" w:cs="Arial"/>
          <w:b/>
          <w:bCs/>
          <w:sz w:val="32"/>
          <w:szCs w:val="32"/>
        </w:rPr>
        <w:t>Da</w:t>
      </w:r>
      <w:r w:rsidR="003C43D8">
        <w:rPr>
          <w:rFonts w:ascii="Calibri" w:hAnsi="Calibri" w:cs="Arial"/>
          <w:b/>
          <w:bCs/>
          <w:sz w:val="32"/>
          <w:szCs w:val="32"/>
        </w:rPr>
        <w:t xml:space="preserve">ta Confirms Safety </w:t>
      </w:r>
      <w:r w:rsidR="008F7D50">
        <w:rPr>
          <w:rFonts w:ascii="Calibri" w:hAnsi="Calibri" w:cs="Arial"/>
          <w:b/>
          <w:bCs/>
          <w:sz w:val="32"/>
          <w:szCs w:val="32"/>
        </w:rPr>
        <w:t>of BioMatrix</w:t>
      </w:r>
      <w:r w:rsidR="002F6CEB">
        <w:rPr>
          <w:rFonts w:ascii="Calibri" w:hAnsi="Calibri" w:cs="Arial"/>
          <w:b/>
          <w:bCs/>
          <w:sz w:val="32"/>
          <w:szCs w:val="32"/>
        </w:rPr>
        <w:t xml:space="preserve">™ </w:t>
      </w:r>
      <w:r w:rsidR="008F7D50">
        <w:rPr>
          <w:rFonts w:ascii="Calibri" w:hAnsi="Calibri" w:cs="Arial"/>
          <w:b/>
          <w:bCs/>
          <w:sz w:val="32"/>
          <w:szCs w:val="32"/>
        </w:rPr>
        <w:t>at One Year</w:t>
      </w:r>
    </w:p>
    <w:p w:rsidR="00485925" w:rsidRPr="00C8794C" w:rsidRDefault="000F4510" w:rsidP="00C8794C">
      <w:pPr>
        <w:pStyle w:val="NormalWeb"/>
        <w:jc w:val="both"/>
        <w:rPr>
          <w:rFonts w:asciiTheme="minorHAnsi" w:hAnsiTheme="minorHAnsi"/>
          <w:bCs/>
        </w:rPr>
      </w:pPr>
      <w:r w:rsidRPr="00C8794C">
        <w:rPr>
          <w:rFonts w:asciiTheme="minorHAnsi" w:hAnsiTheme="minorHAnsi"/>
          <w:b/>
          <w:bCs/>
        </w:rPr>
        <w:t xml:space="preserve">Paris, France, </w:t>
      </w:r>
      <w:r w:rsidR="003C43D8" w:rsidRPr="00C8794C">
        <w:rPr>
          <w:rFonts w:asciiTheme="minorHAnsi" w:hAnsiTheme="minorHAnsi"/>
          <w:b/>
          <w:bCs/>
        </w:rPr>
        <w:t>1</w:t>
      </w:r>
      <w:r w:rsidR="003C09D7" w:rsidRPr="00C8794C">
        <w:rPr>
          <w:rFonts w:asciiTheme="minorHAnsi" w:hAnsiTheme="minorHAnsi"/>
          <w:b/>
          <w:bCs/>
        </w:rPr>
        <w:t>9</w:t>
      </w:r>
      <w:r w:rsidR="00A25ADE" w:rsidRPr="00C8794C">
        <w:rPr>
          <w:rFonts w:asciiTheme="minorHAnsi" w:hAnsiTheme="minorHAnsi"/>
          <w:b/>
          <w:bCs/>
        </w:rPr>
        <w:t xml:space="preserve">May 2011 </w:t>
      </w:r>
      <w:r w:rsidR="00647973" w:rsidRPr="00C8794C">
        <w:rPr>
          <w:rFonts w:asciiTheme="minorHAnsi" w:hAnsiTheme="minorHAnsi"/>
          <w:b/>
          <w:bCs/>
        </w:rPr>
        <w:t xml:space="preserve">– </w:t>
      </w:r>
      <w:r w:rsidR="005E7125" w:rsidRPr="00C8794C">
        <w:rPr>
          <w:rFonts w:asciiTheme="minorHAnsi" w:hAnsiTheme="minorHAnsi" w:cs="Arial"/>
        </w:rPr>
        <w:t>e-BioMatrix</w:t>
      </w:r>
      <w:r w:rsidR="005E7125">
        <w:rPr>
          <w:rFonts w:asciiTheme="minorHAnsi" w:hAnsiTheme="minorHAnsi" w:cs="Arial"/>
        </w:rPr>
        <w:t>p</w:t>
      </w:r>
      <w:r w:rsidR="002F6CEB" w:rsidRPr="00C8794C">
        <w:rPr>
          <w:rFonts w:asciiTheme="minorHAnsi" w:hAnsiTheme="minorHAnsi" w:cs="Arial"/>
        </w:rPr>
        <w:t xml:space="preserve">ost-marketing surveillance (PMS) </w:t>
      </w:r>
      <w:r w:rsidR="008B2222" w:rsidRPr="00C8794C">
        <w:rPr>
          <w:rFonts w:asciiTheme="minorHAnsi" w:hAnsiTheme="minorHAnsi"/>
          <w:bCs/>
        </w:rPr>
        <w:t>registry information</w:t>
      </w:r>
      <w:r w:rsidR="00615F3D" w:rsidRPr="00C8794C">
        <w:rPr>
          <w:rFonts w:asciiTheme="minorHAnsi" w:hAnsiTheme="minorHAnsi"/>
          <w:bCs/>
        </w:rPr>
        <w:t xml:space="preserve"> presented</w:t>
      </w:r>
      <w:r w:rsidR="003C43D8" w:rsidRPr="00C8794C">
        <w:rPr>
          <w:rFonts w:asciiTheme="minorHAnsi" w:hAnsiTheme="minorHAnsi"/>
          <w:bCs/>
        </w:rPr>
        <w:t>for the first time yesterday</w:t>
      </w:r>
      <w:r w:rsidR="006C6BD1" w:rsidRPr="00C8794C">
        <w:rPr>
          <w:rFonts w:asciiTheme="minorHAnsi" w:hAnsiTheme="minorHAnsi"/>
          <w:bCs/>
        </w:rPr>
        <w:t xml:space="preserve"> at EuroPCR 2011 has confirmed that</w:t>
      </w:r>
      <w:r w:rsidR="006C6BD1" w:rsidRPr="00C8794C">
        <w:rPr>
          <w:rFonts w:asciiTheme="minorHAnsi" w:hAnsiTheme="minorHAnsi" w:cs="Calibri"/>
        </w:rPr>
        <w:t>BioMatrix</w:t>
      </w:r>
      <w:r w:rsidR="00B04378" w:rsidRPr="00C8794C">
        <w:rPr>
          <w:rFonts w:asciiTheme="minorHAnsi" w:hAnsiTheme="minorHAnsi" w:cs="Calibri"/>
        </w:rPr>
        <w:t xml:space="preserve">™, Biosensors’ Biolimus A9™-eluting stent system with abluminal biodegradable polymer, </w:t>
      </w:r>
      <w:r w:rsidR="003C43D8" w:rsidRPr="00C8794C">
        <w:rPr>
          <w:rFonts w:asciiTheme="minorHAnsi" w:hAnsiTheme="minorHAnsi" w:cs="Calibri"/>
        </w:rPr>
        <w:t xml:space="preserve">is safe over a 12-month period </w:t>
      </w:r>
      <w:r w:rsidR="006C6BD1" w:rsidRPr="00C8794C">
        <w:rPr>
          <w:rFonts w:asciiTheme="minorHAnsi" w:hAnsiTheme="minorHAnsi" w:cs="Calibri"/>
        </w:rPr>
        <w:t xml:space="preserve">in a </w:t>
      </w:r>
      <w:r w:rsidR="005E7125">
        <w:rPr>
          <w:rFonts w:asciiTheme="minorHAnsi" w:hAnsiTheme="minorHAnsi"/>
          <w:bCs/>
        </w:rPr>
        <w:t>“</w:t>
      </w:r>
      <w:r w:rsidR="0039361A">
        <w:rPr>
          <w:rFonts w:asciiTheme="minorHAnsi" w:hAnsiTheme="minorHAnsi"/>
          <w:bCs/>
        </w:rPr>
        <w:t>real-</w:t>
      </w:r>
      <w:r w:rsidR="007A21A3" w:rsidRPr="00C8794C">
        <w:rPr>
          <w:rFonts w:asciiTheme="minorHAnsi" w:hAnsiTheme="minorHAnsi"/>
          <w:bCs/>
        </w:rPr>
        <w:t>w</w:t>
      </w:r>
      <w:r w:rsidR="005E7125">
        <w:rPr>
          <w:rFonts w:asciiTheme="minorHAnsi" w:hAnsiTheme="minorHAnsi"/>
          <w:bCs/>
        </w:rPr>
        <w:t>orld”</w:t>
      </w:r>
      <w:r w:rsidR="006C6BD1" w:rsidRPr="00C8794C">
        <w:rPr>
          <w:rFonts w:asciiTheme="minorHAnsi" w:hAnsiTheme="minorHAnsi"/>
          <w:bCs/>
        </w:rPr>
        <w:t xml:space="preserve"> patient population. </w:t>
      </w:r>
    </w:p>
    <w:p w:rsidR="00485925" w:rsidRPr="00C8794C" w:rsidRDefault="00BD58F2" w:rsidP="00C8794C">
      <w:pPr>
        <w:pStyle w:val="NormalWeb"/>
        <w:jc w:val="both"/>
        <w:rPr>
          <w:rFonts w:asciiTheme="minorHAnsi" w:hAnsiTheme="minorHAnsi"/>
          <w:bCs/>
        </w:rPr>
      </w:pPr>
      <w:r w:rsidRPr="00C8794C">
        <w:rPr>
          <w:rFonts w:asciiTheme="minorHAnsi" w:hAnsiTheme="minorHAnsi" w:cs="Arial"/>
        </w:rPr>
        <w:t xml:space="preserve">The </w:t>
      </w:r>
      <w:r w:rsidR="009652A8" w:rsidRPr="00C8794C">
        <w:rPr>
          <w:rFonts w:asciiTheme="minorHAnsi" w:hAnsiTheme="minorHAnsi" w:cs="Arial"/>
        </w:rPr>
        <w:t>e</w:t>
      </w:r>
      <w:r w:rsidRPr="00C8794C">
        <w:rPr>
          <w:rFonts w:asciiTheme="minorHAnsi" w:hAnsiTheme="minorHAnsi" w:cs="Arial"/>
        </w:rPr>
        <w:t xml:space="preserve">-BioMatrix PMS Registry, </w:t>
      </w:r>
      <w:r w:rsidR="008F7D50" w:rsidRPr="00C8794C">
        <w:rPr>
          <w:rFonts w:asciiTheme="minorHAnsi" w:hAnsiTheme="minorHAnsi" w:cs="Arial"/>
        </w:rPr>
        <w:t>i</w:t>
      </w:r>
      <w:r w:rsidR="006C6BD1" w:rsidRPr="00C8794C">
        <w:rPr>
          <w:rFonts w:asciiTheme="minorHAnsi" w:hAnsiTheme="minorHAnsi" w:cs="Arial"/>
        </w:rPr>
        <w:t xml:space="preserve">nitiated in March 2008, is </w:t>
      </w:r>
      <w:r w:rsidR="007F4E8C" w:rsidRPr="00C8794C">
        <w:rPr>
          <w:rFonts w:asciiTheme="minorHAnsi" w:hAnsiTheme="minorHAnsi" w:cs="Arial"/>
        </w:rPr>
        <w:t xml:space="preserve">a prospective, multi-center, observational </w:t>
      </w:r>
      <w:r w:rsidR="006255AD" w:rsidRPr="00C8794C">
        <w:rPr>
          <w:rFonts w:asciiTheme="minorHAnsi" w:hAnsiTheme="minorHAnsi" w:cs="Arial"/>
        </w:rPr>
        <w:t xml:space="preserve">registry </w:t>
      </w:r>
      <w:r w:rsidR="007F4E8C" w:rsidRPr="00C8794C">
        <w:rPr>
          <w:rFonts w:asciiTheme="minorHAnsi" w:hAnsiTheme="minorHAnsi" w:cs="Arial"/>
        </w:rPr>
        <w:t xml:space="preserve">to assess the outcomes of over 1,000 </w:t>
      </w:r>
      <w:r w:rsidR="0039361A">
        <w:rPr>
          <w:rFonts w:asciiTheme="minorHAnsi" w:hAnsiTheme="minorHAnsi" w:cs="Arial"/>
        </w:rPr>
        <w:t>“real-</w:t>
      </w:r>
      <w:r w:rsidR="00FF7B5C">
        <w:rPr>
          <w:rFonts w:asciiTheme="minorHAnsi" w:hAnsiTheme="minorHAnsi" w:cs="Arial"/>
        </w:rPr>
        <w:t>world”</w:t>
      </w:r>
      <w:r w:rsidRPr="00C8794C">
        <w:rPr>
          <w:rFonts w:asciiTheme="minorHAnsi" w:hAnsiTheme="minorHAnsi" w:cs="Arial"/>
        </w:rPr>
        <w:t xml:space="preserve">patients across </w:t>
      </w:r>
      <w:r w:rsidR="007F4E8C" w:rsidRPr="00C8794C">
        <w:rPr>
          <w:rFonts w:asciiTheme="minorHAnsi" w:hAnsiTheme="minorHAnsi" w:cs="Arial"/>
        </w:rPr>
        <w:t xml:space="preserve">nineEuropean </w:t>
      </w:r>
      <w:r w:rsidRPr="00C8794C">
        <w:rPr>
          <w:rFonts w:asciiTheme="minorHAnsi" w:hAnsiTheme="minorHAnsi" w:cs="Arial"/>
        </w:rPr>
        <w:t>study sites</w:t>
      </w:r>
      <w:r w:rsidR="007F4E8C" w:rsidRPr="00C8794C">
        <w:rPr>
          <w:rFonts w:asciiTheme="minorHAnsi" w:hAnsiTheme="minorHAnsi" w:cs="Arial"/>
        </w:rPr>
        <w:t xml:space="preserve"> over a five-year period</w:t>
      </w:r>
      <w:r w:rsidRPr="00C8794C">
        <w:rPr>
          <w:rFonts w:asciiTheme="minorHAnsi" w:hAnsiTheme="minorHAnsi" w:cs="Arial"/>
        </w:rPr>
        <w:t xml:space="preserve">. </w:t>
      </w:r>
      <w:r w:rsidR="001E27C3" w:rsidRPr="00C8794C">
        <w:rPr>
          <w:rFonts w:asciiTheme="minorHAnsi" w:hAnsiTheme="minorHAnsi" w:cs="Arial"/>
        </w:rPr>
        <w:t>Enrolment</w:t>
      </w:r>
      <w:r w:rsidR="00A16B68" w:rsidRPr="00C8794C">
        <w:rPr>
          <w:rFonts w:asciiTheme="minorHAnsi" w:hAnsiTheme="minorHAnsi" w:cs="Arial"/>
        </w:rPr>
        <w:t xml:space="preserve"> was completed in </w:t>
      </w:r>
      <w:r w:rsidR="001E27C3" w:rsidRPr="00C8794C">
        <w:rPr>
          <w:rFonts w:asciiTheme="minorHAnsi" w:hAnsiTheme="minorHAnsi" w:cs="Arial"/>
        </w:rPr>
        <w:t>September 2009</w:t>
      </w:r>
      <w:r w:rsidR="00A16B68" w:rsidRPr="00C8794C">
        <w:rPr>
          <w:rFonts w:asciiTheme="minorHAnsi" w:hAnsiTheme="minorHAnsi" w:cs="Arial"/>
        </w:rPr>
        <w:t xml:space="preserve">. All patients are being comprehensively monitored, including for baseline </w:t>
      </w:r>
      <w:r w:rsidR="007F4E8C" w:rsidRPr="00C8794C">
        <w:rPr>
          <w:rFonts w:asciiTheme="minorHAnsi" w:hAnsiTheme="minorHAnsi" w:cs="Arial"/>
        </w:rPr>
        <w:t>information, index</w:t>
      </w:r>
      <w:r w:rsidR="00A16B68" w:rsidRPr="00C8794C">
        <w:rPr>
          <w:rFonts w:asciiTheme="minorHAnsi" w:hAnsiTheme="minorHAnsi" w:cs="Arial"/>
        </w:rPr>
        <w:t xml:space="preserve"> hospitalization</w:t>
      </w:r>
      <w:r w:rsidR="001E27C3" w:rsidRPr="00C8794C">
        <w:rPr>
          <w:rFonts w:asciiTheme="minorHAnsi" w:hAnsiTheme="minorHAnsi" w:cs="Arial"/>
        </w:rPr>
        <w:t xml:space="preserve"> and </w:t>
      </w:r>
      <w:r w:rsidR="006255AD" w:rsidRPr="00C8794C">
        <w:rPr>
          <w:rFonts w:asciiTheme="minorHAnsi" w:hAnsiTheme="minorHAnsi" w:cs="Arial"/>
        </w:rPr>
        <w:t xml:space="preserve">the patient file until last </w:t>
      </w:r>
      <w:r w:rsidR="001E27C3" w:rsidRPr="00C8794C">
        <w:rPr>
          <w:rFonts w:asciiTheme="minorHAnsi" w:hAnsiTheme="minorHAnsi" w:cs="Arial"/>
        </w:rPr>
        <w:t>reported cardiac</w:t>
      </w:r>
      <w:r w:rsidR="007F4E8C" w:rsidRPr="00C8794C">
        <w:rPr>
          <w:rFonts w:asciiTheme="minorHAnsi" w:hAnsiTheme="minorHAnsi" w:cs="Arial"/>
        </w:rPr>
        <w:t>-</w:t>
      </w:r>
      <w:r w:rsidR="001E27C3" w:rsidRPr="00C8794C">
        <w:rPr>
          <w:rFonts w:asciiTheme="minorHAnsi" w:hAnsiTheme="minorHAnsi" w:cs="Arial"/>
        </w:rPr>
        <w:t>related event</w:t>
      </w:r>
      <w:r w:rsidR="00A16B68" w:rsidRPr="00C8794C">
        <w:rPr>
          <w:rFonts w:asciiTheme="minorHAnsi" w:hAnsiTheme="minorHAnsi" w:cs="Arial"/>
        </w:rPr>
        <w:t xml:space="preserve">. The primary endpoint </w:t>
      </w:r>
      <w:r w:rsidR="008B2222" w:rsidRPr="00C8794C">
        <w:rPr>
          <w:rFonts w:asciiTheme="minorHAnsi" w:hAnsiTheme="minorHAnsi" w:cs="Arial"/>
        </w:rPr>
        <w:t>of the registry</w:t>
      </w:r>
      <w:r w:rsidR="00A16B68" w:rsidRPr="00C8794C">
        <w:rPr>
          <w:rFonts w:asciiTheme="minorHAnsi" w:hAnsiTheme="minorHAnsi" w:cs="Arial"/>
        </w:rPr>
        <w:t xml:space="preserve"> was </w:t>
      </w:r>
      <w:smartTag w:uri="urn:schemas-microsoft-com:office:smarttags" w:element="stockticker">
        <w:r w:rsidR="00A16B68" w:rsidRPr="00C8794C">
          <w:rPr>
            <w:rFonts w:asciiTheme="minorHAnsi" w:hAnsiTheme="minorHAnsi"/>
            <w:bCs/>
          </w:rPr>
          <w:t>MACE</w:t>
        </w:r>
      </w:smartTag>
      <w:r w:rsidR="00A16B68" w:rsidRPr="00C8794C">
        <w:rPr>
          <w:rFonts w:asciiTheme="minorHAnsi" w:hAnsiTheme="minorHAnsi"/>
          <w:bCs/>
        </w:rPr>
        <w:t xml:space="preserve"> (</w:t>
      </w:r>
      <w:r w:rsidR="007F4E8C" w:rsidRPr="00C8794C">
        <w:rPr>
          <w:rFonts w:asciiTheme="minorHAnsi" w:hAnsiTheme="minorHAnsi"/>
          <w:bCs/>
        </w:rPr>
        <w:t>a composite of cardiac death, MI and clinically-driven TVR</w:t>
      </w:r>
      <w:r w:rsidR="00A16B68" w:rsidRPr="00C8794C">
        <w:rPr>
          <w:rFonts w:asciiTheme="minorHAnsi" w:hAnsiTheme="minorHAnsi"/>
          <w:bCs/>
        </w:rPr>
        <w:t xml:space="preserve">) at 12 months. </w:t>
      </w:r>
      <w:r w:rsidR="00246D54" w:rsidRPr="00C8794C">
        <w:rPr>
          <w:rFonts w:asciiTheme="minorHAnsi" w:hAnsiTheme="minorHAnsi" w:cs="Arial"/>
        </w:rPr>
        <w:t xml:space="preserve">Of the </w:t>
      </w:r>
      <w:r w:rsidR="001E27C3" w:rsidRPr="00C8794C">
        <w:rPr>
          <w:rFonts w:asciiTheme="minorHAnsi" w:hAnsiTheme="minorHAnsi" w:cs="Arial"/>
        </w:rPr>
        <w:t xml:space="preserve">1102 </w:t>
      </w:r>
      <w:r w:rsidR="00246D54" w:rsidRPr="00C8794C">
        <w:rPr>
          <w:rFonts w:asciiTheme="minorHAnsi" w:hAnsiTheme="minorHAnsi" w:cs="Arial"/>
        </w:rPr>
        <w:t xml:space="preserve">patients studied over this period, </w:t>
      </w:r>
      <w:r w:rsidR="00C24C2E" w:rsidRPr="00C8794C">
        <w:rPr>
          <w:rFonts w:asciiTheme="minorHAnsi" w:hAnsiTheme="minorHAnsi" w:cs="Arial"/>
        </w:rPr>
        <w:t xml:space="preserve">74 </w:t>
      </w:r>
      <w:r w:rsidR="00246D54" w:rsidRPr="00C8794C">
        <w:rPr>
          <w:rFonts w:asciiTheme="minorHAnsi" w:hAnsiTheme="minorHAnsi" w:cs="Arial"/>
        </w:rPr>
        <w:t>(</w:t>
      </w:r>
      <w:r w:rsidR="001E27C3" w:rsidRPr="00C8794C">
        <w:rPr>
          <w:rFonts w:asciiTheme="minorHAnsi" w:hAnsiTheme="minorHAnsi" w:cs="Arial"/>
        </w:rPr>
        <w:t>6.7</w:t>
      </w:r>
      <w:r w:rsidR="00246D54" w:rsidRPr="00C8794C">
        <w:rPr>
          <w:rFonts w:asciiTheme="minorHAnsi" w:hAnsiTheme="minorHAnsi" w:cs="Arial"/>
        </w:rPr>
        <w:t>%) experienced a clinical adverse event that could be included in the primary endpoint</w:t>
      </w:r>
      <w:r w:rsidR="001E27C3" w:rsidRPr="00C8794C">
        <w:rPr>
          <w:rFonts w:asciiTheme="minorHAnsi" w:hAnsiTheme="minorHAnsi" w:cs="Arial"/>
        </w:rPr>
        <w:t xml:space="preserve"> according to the independent Critical Events Committee</w:t>
      </w:r>
      <w:r w:rsidR="00246D54" w:rsidRPr="00C8794C">
        <w:rPr>
          <w:rFonts w:asciiTheme="minorHAnsi" w:hAnsiTheme="minorHAnsi" w:cs="Arial"/>
        </w:rPr>
        <w:t xml:space="preserve">. </w:t>
      </w:r>
      <w:r w:rsidR="00485925" w:rsidRPr="00C8794C">
        <w:rPr>
          <w:rFonts w:asciiTheme="minorHAnsi" w:hAnsiTheme="minorHAnsi" w:cs="Arial"/>
        </w:rPr>
        <w:t>The registry will also examine a range of secondary endpoints, includin</w:t>
      </w:r>
      <w:r w:rsidR="005E7125">
        <w:rPr>
          <w:rFonts w:asciiTheme="minorHAnsi" w:hAnsiTheme="minorHAnsi" w:cs="Arial"/>
        </w:rPr>
        <w:t>g primary and s</w:t>
      </w:r>
      <w:r w:rsidR="00485925" w:rsidRPr="00C8794C">
        <w:rPr>
          <w:rFonts w:asciiTheme="minorHAnsi" w:hAnsiTheme="minorHAnsi" w:cs="Arial"/>
        </w:rPr>
        <w:t xml:space="preserve">tent thrombosis over several periods; </w:t>
      </w:r>
      <w:smartTag w:uri="urn:schemas-microsoft-com:office:smarttags" w:element="stockticker">
        <w:r w:rsidR="00485925" w:rsidRPr="00C8794C">
          <w:rPr>
            <w:rFonts w:asciiTheme="minorHAnsi" w:hAnsiTheme="minorHAnsi" w:cs="Arial"/>
          </w:rPr>
          <w:t>MACE</w:t>
        </w:r>
      </w:smartTag>
      <w:r w:rsidR="005E7125">
        <w:rPr>
          <w:rFonts w:asciiTheme="minorHAnsi" w:hAnsiTheme="minorHAnsi" w:cs="Arial"/>
        </w:rPr>
        <w:t xml:space="preserve"> at intervals </w:t>
      </w:r>
      <w:r w:rsidR="00485925" w:rsidRPr="00C8794C">
        <w:rPr>
          <w:rFonts w:asciiTheme="minorHAnsi" w:hAnsiTheme="minorHAnsi" w:cs="Arial"/>
        </w:rPr>
        <w:t>up to five years; and death and MI rates for up to five years.</w:t>
      </w:r>
    </w:p>
    <w:p w:rsidR="008B2222" w:rsidRPr="00C8794C" w:rsidRDefault="00485925" w:rsidP="00C8794C">
      <w:pPr>
        <w:spacing w:after="120"/>
        <w:jc w:val="both"/>
        <w:rPr>
          <w:rFonts w:asciiTheme="minorHAnsi" w:hAnsiTheme="minorHAnsi" w:cs="Arial"/>
        </w:rPr>
      </w:pPr>
      <w:r w:rsidRPr="00C8794C">
        <w:rPr>
          <w:rFonts w:asciiTheme="minorHAnsi" w:hAnsiTheme="minorHAnsi" w:cs="Arial"/>
        </w:rPr>
        <w:t xml:space="preserve">A broad range of inclusion criteria have ensured that e-BioMatrix is a </w:t>
      </w:r>
      <w:r w:rsidR="00FF7B5C">
        <w:rPr>
          <w:rFonts w:asciiTheme="minorHAnsi" w:hAnsiTheme="minorHAnsi" w:cs="Arial"/>
        </w:rPr>
        <w:t>“</w:t>
      </w:r>
      <w:r w:rsidR="0039361A">
        <w:rPr>
          <w:rFonts w:asciiTheme="minorHAnsi" w:hAnsiTheme="minorHAnsi" w:cs="Arial"/>
        </w:rPr>
        <w:t>real-</w:t>
      </w:r>
      <w:r w:rsidRPr="00C8794C">
        <w:rPr>
          <w:rFonts w:asciiTheme="minorHAnsi" w:hAnsiTheme="minorHAnsi" w:cs="Arial"/>
        </w:rPr>
        <w:t>world</w:t>
      </w:r>
      <w:r w:rsidR="00FF7B5C">
        <w:rPr>
          <w:rFonts w:asciiTheme="minorHAnsi" w:hAnsiTheme="minorHAnsi" w:cs="Arial"/>
        </w:rPr>
        <w:t>”</w:t>
      </w:r>
      <w:r w:rsidRPr="00C8794C">
        <w:rPr>
          <w:rFonts w:asciiTheme="minorHAnsi" w:hAnsiTheme="minorHAnsi" w:cs="Arial"/>
        </w:rPr>
        <w:t xml:space="preserve"> registry: patients have had to be at least 18 years old; need treatment with a DES; and have one or more coronary artery stenoses in a native coronary artery or a saphenous bypass graft from 2.25 to 4.0 mm in diameter that can be covered with one or multiple stents. There have been no limitations on the number of treated lesions, vessels, or lesion length.</w:t>
      </w:r>
    </w:p>
    <w:p w:rsidR="008B2222" w:rsidRPr="00C8794C" w:rsidRDefault="00442529" w:rsidP="00C8794C">
      <w:pPr>
        <w:spacing w:after="120"/>
        <w:jc w:val="both"/>
        <w:rPr>
          <w:rFonts w:asciiTheme="minorHAnsi" w:hAnsiTheme="minorHAnsi" w:cs="Calibri"/>
        </w:rPr>
      </w:pPr>
      <w:r w:rsidRPr="00C8794C">
        <w:rPr>
          <w:rFonts w:asciiTheme="minorHAnsi" w:hAnsiTheme="minorHAnsi" w:cs="Arial"/>
        </w:rPr>
        <w:t>“These registry findings</w:t>
      </w:r>
      <w:r w:rsidR="00DF5341" w:rsidRPr="00C8794C">
        <w:rPr>
          <w:rFonts w:asciiTheme="minorHAnsi" w:hAnsiTheme="minorHAnsi" w:cs="Arial"/>
        </w:rPr>
        <w:t xml:space="preserve"> provide</w:t>
      </w:r>
      <w:r w:rsidR="007A21A3" w:rsidRPr="00C8794C">
        <w:rPr>
          <w:rFonts w:asciiTheme="minorHAnsi" w:hAnsiTheme="minorHAnsi" w:cs="Arial"/>
        </w:rPr>
        <w:t xml:space="preserve"> further reassurance on the safety of a b</w:t>
      </w:r>
      <w:r w:rsidR="007A21A3" w:rsidRPr="00C8794C">
        <w:rPr>
          <w:rFonts w:asciiTheme="minorHAnsi" w:hAnsiTheme="minorHAnsi" w:cs="Calibri"/>
        </w:rPr>
        <w:t>iolimus-eluting ste</w:t>
      </w:r>
      <w:r w:rsidR="00DF5341" w:rsidRPr="00C8794C">
        <w:rPr>
          <w:rFonts w:asciiTheme="minorHAnsi" w:hAnsiTheme="minorHAnsi" w:cs="Calibri"/>
        </w:rPr>
        <w:t>nt with biodegradable polymer in</w:t>
      </w:r>
      <w:r w:rsidR="007A21A3" w:rsidRPr="00C8794C">
        <w:rPr>
          <w:rFonts w:asciiTheme="minorHAnsi" w:hAnsiTheme="minorHAnsi" w:cs="Calibri"/>
        </w:rPr>
        <w:t xml:space="preserve"> a wide range of patient types requiring PCI that we routinely see in our </w:t>
      </w:r>
      <w:r w:rsidR="00DF5341" w:rsidRPr="00C8794C">
        <w:rPr>
          <w:rFonts w:asciiTheme="minorHAnsi" w:hAnsiTheme="minorHAnsi" w:cs="Calibri"/>
        </w:rPr>
        <w:t>daily practice</w:t>
      </w:r>
      <w:r w:rsidR="007A21A3" w:rsidRPr="00C8794C">
        <w:rPr>
          <w:rFonts w:asciiTheme="minorHAnsi" w:hAnsiTheme="minorHAnsi" w:cs="Calibri"/>
        </w:rPr>
        <w:t>”, comm</w:t>
      </w:r>
      <w:r w:rsidR="005E7125">
        <w:rPr>
          <w:rFonts w:asciiTheme="minorHAnsi" w:hAnsiTheme="minorHAnsi" w:cs="Calibri"/>
        </w:rPr>
        <w:t>ented Principle Investigator Dr.</w:t>
      </w:r>
      <w:r w:rsidR="007A21A3" w:rsidRPr="00C8794C">
        <w:rPr>
          <w:rFonts w:asciiTheme="minorHAnsi" w:hAnsiTheme="minorHAnsi" w:cs="Calibri"/>
        </w:rPr>
        <w:t xml:space="preserve"> Philip Urban, La Tour</w:t>
      </w:r>
      <w:r w:rsidR="007F4E8C" w:rsidRPr="00C8794C">
        <w:rPr>
          <w:rFonts w:asciiTheme="minorHAnsi" w:hAnsiTheme="minorHAnsi" w:cs="Calibri"/>
        </w:rPr>
        <w:t xml:space="preserve"> Hospital</w:t>
      </w:r>
      <w:r w:rsidR="007A21A3" w:rsidRPr="00C8794C">
        <w:rPr>
          <w:rFonts w:asciiTheme="minorHAnsi" w:hAnsiTheme="minorHAnsi" w:cs="Calibri"/>
        </w:rPr>
        <w:t>, Geneva, Switzerland. “</w:t>
      </w:r>
      <w:r w:rsidR="00F964F3" w:rsidRPr="00C8794C">
        <w:rPr>
          <w:rFonts w:asciiTheme="minorHAnsi" w:hAnsiTheme="minorHAnsi" w:cs="Calibri"/>
        </w:rPr>
        <w:t xml:space="preserve">The results </w:t>
      </w:r>
      <w:r w:rsidR="007A21A3" w:rsidRPr="00C8794C">
        <w:rPr>
          <w:rFonts w:asciiTheme="minorHAnsi" w:hAnsiTheme="minorHAnsi" w:cs="Calibri"/>
        </w:rPr>
        <w:t>are especially reputable due to the high level</w:t>
      </w:r>
      <w:r w:rsidR="00DF5341" w:rsidRPr="00C8794C">
        <w:rPr>
          <w:rFonts w:asciiTheme="minorHAnsi" w:hAnsiTheme="minorHAnsi" w:cs="Calibri"/>
        </w:rPr>
        <w:t>s</w:t>
      </w:r>
      <w:r w:rsidR="00F964F3" w:rsidRPr="00C8794C">
        <w:rPr>
          <w:rFonts w:asciiTheme="minorHAnsi" w:hAnsiTheme="minorHAnsi" w:cs="Calibri"/>
        </w:rPr>
        <w:t xml:space="preserve"> of follow-up that have been achieved, with </w:t>
      </w:r>
      <w:r w:rsidR="007A21A3" w:rsidRPr="00C8794C">
        <w:rPr>
          <w:rFonts w:asciiTheme="minorHAnsi" w:hAnsiTheme="minorHAnsi" w:cs="Calibri"/>
        </w:rPr>
        <w:t>97</w:t>
      </w:r>
      <w:r w:rsidR="001E27C3" w:rsidRPr="00C8794C">
        <w:rPr>
          <w:rFonts w:asciiTheme="minorHAnsi" w:hAnsiTheme="minorHAnsi" w:cs="Calibri"/>
        </w:rPr>
        <w:t>.6</w:t>
      </w:r>
      <w:r w:rsidR="007A21A3" w:rsidRPr="00C8794C">
        <w:rPr>
          <w:rFonts w:asciiTheme="minorHAnsi" w:hAnsiTheme="minorHAnsi" w:cs="Calibri"/>
        </w:rPr>
        <w:t xml:space="preserve"> percent at one year.”</w:t>
      </w:r>
    </w:p>
    <w:p w:rsidR="008B2222" w:rsidRPr="00C8794C" w:rsidRDefault="00442529" w:rsidP="00C8794C">
      <w:pPr>
        <w:spacing w:after="120"/>
        <w:jc w:val="both"/>
        <w:rPr>
          <w:rFonts w:asciiTheme="minorHAnsi" w:hAnsiTheme="minorHAnsi" w:cs="Calibri"/>
        </w:rPr>
      </w:pPr>
      <w:r w:rsidRPr="00C8794C">
        <w:rPr>
          <w:rFonts w:asciiTheme="minorHAnsi" w:hAnsiTheme="minorHAnsi" w:cs="Calibri"/>
        </w:rPr>
        <w:t xml:space="preserve">A </w:t>
      </w:r>
      <w:r w:rsidR="0092045A" w:rsidRPr="00C8794C">
        <w:rPr>
          <w:rFonts w:asciiTheme="minorHAnsi" w:hAnsiTheme="minorHAnsi" w:cs="Calibri"/>
        </w:rPr>
        <w:t>similar</w:t>
      </w:r>
      <w:r w:rsidR="008B2222" w:rsidRPr="00C8794C">
        <w:rPr>
          <w:rFonts w:asciiTheme="minorHAnsi" w:hAnsiTheme="minorHAnsi" w:cs="Calibri"/>
        </w:rPr>
        <w:t xml:space="preserve"> registry to </w:t>
      </w:r>
      <w:r w:rsidRPr="00C8794C">
        <w:rPr>
          <w:rFonts w:asciiTheme="minorHAnsi" w:hAnsiTheme="minorHAnsi" w:cs="Arial"/>
        </w:rPr>
        <w:t>e</w:t>
      </w:r>
      <w:r w:rsidR="008B2222" w:rsidRPr="00C8794C">
        <w:rPr>
          <w:rFonts w:asciiTheme="minorHAnsi" w:hAnsiTheme="minorHAnsi" w:cs="Arial"/>
        </w:rPr>
        <w:t>-BioMatrix PMS</w:t>
      </w:r>
      <w:r w:rsidRPr="00C8794C">
        <w:rPr>
          <w:rFonts w:asciiTheme="minorHAnsi" w:hAnsiTheme="minorHAnsi" w:cs="Arial"/>
        </w:rPr>
        <w:t>, the e</w:t>
      </w:r>
      <w:r w:rsidR="00A049A2" w:rsidRPr="00C8794C">
        <w:rPr>
          <w:rFonts w:asciiTheme="minorHAnsi" w:hAnsiTheme="minorHAnsi" w:cs="Arial"/>
        </w:rPr>
        <w:t>-BioMatrix Post</w:t>
      </w:r>
      <w:r w:rsidRPr="00C8794C">
        <w:rPr>
          <w:rFonts w:asciiTheme="minorHAnsi" w:hAnsiTheme="minorHAnsi" w:cs="Arial"/>
        </w:rPr>
        <w:t xml:space="preserve">-Marketing Registry (PMR), </w:t>
      </w:r>
      <w:r w:rsidRPr="00C8794C">
        <w:rPr>
          <w:rFonts w:asciiTheme="minorHAnsi" w:hAnsiTheme="minorHAnsi" w:cs="Calibri"/>
        </w:rPr>
        <w:t>was initiated at the same time, involving up to 4,800 patients</w:t>
      </w:r>
      <w:r w:rsidR="00A049A2" w:rsidRPr="00C8794C">
        <w:rPr>
          <w:rFonts w:asciiTheme="minorHAnsi" w:hAnsiTheme="minorHAnsi" w:cs="Calibri"/>
        </w:rPr>
        <w:t xml:space="preserve">. The </w:t>
      </w:r>
      <w:r w:rsidR="00245615" w:rsidRPr="00C8794C">
        <w:rPr>
          <w:rFonts w:asciiTheme="minorHAnsi" w:hAnsiTheme="minorHAnsi" w:cs="Calibri"/>
        </w:rPr>
        <w:t>protocols</w:t>
      </w:r>
      <w:r w:rsidR="00A049A2" w:rsidRPr="00C8794C">
        <w:rPr>
          <w:rFonts w:asciiTheme="minorHAnsi" w:hAnsiTheme="minorHAnsi" w:cs="Calibri"/>
        </w:rPr>
        <w:t xml:space="preserve"> of the two studies are identical, </w:t>
      </w:r>
      <w:r w:rsidR="00245615" w:rsidRPr="00C8794C">
        <w:rPr>
          <w:rFonts w:asciiTheme="minorHAnsi" w:hAnsiTheme="minorHAnsi" w:cs="Calibri"/>
        </w:rPr>
        <w:t>with</w:t>
      </w:r>
      <w:r w:rsidR="00E35AAA" w:rsidRPr="00C8794C">
        <w:rPr>
          <w:rFonts w:asciiTheme="minorHAnsi" w:hAnsiTheme="minorHAnsi" w:cs="Calibri"/>
        </w:rPr>
        <w:br/>
      </w:r>
      <w:r w:rsidR="00A049A2" w:rsidRPr="00C8794C">
        <w:rPr>
          <w:rFonts w:asciiTheme="minorHAnsi" w:hAnsiTheme="minorHAnsi" w:cs="Arial"/>
        </w:rPr>
        <w:t xml:space="preserve">e-BioMatrix PMR </w:t>
      </w:r>
      <w:r w:rsidR="00245615" w:rsidRPr="00C8794C">
        <w:rPr>
          <w:rFonts w:asciiTheme="minorHAnsi" w:hAnsiTheme="minorHAnsi" w:cs="Arial"/>
        </w:rPr>
        <w:t xml:space="preserve">monitoring for </w:t>
      </w:r>
      <w:r w:rsidR="00E35AAA" w:rsidRPr="00C8794C">
        <w:rPr>
          <w:rFonts w:asciiTheme="minorHAnsi" w:hAnsiTheme="minorHAnsi" w:cs="Arial"/>
        </w:rPr>
        <w:t>reported cardiac</w:t>
      </w:r>
      <w:r w:rsidR="00245615" w:rsidRPr="00C8794C">
        <w:rPr>
          <w:rFonts w:asciiTheme="minorHAnsi" w:hAnsiTheme="minorHAnsi" w:cs="Arial"/>
        </w:rPr>
        <w:t>-related events only</w:t>
      </w:r>
      <w:r w:rsidR="00A049A2" w:rsidRPr="00C8794C">
        <w:rPr>
          <w:rFonts w:asciiTheme="minorHAnsi" w:hAnsiTheme="minorHAnsi" w:cs="Arial"/>
        </w:rPr>
        <w:t>. Enro</w:t>
      </w:r>
      <w:r w:rsidR="00DF5341" w:rsidRPr="00C8794C">
        <w:rPr>
          <w:rFonts w:asciiTheme="minorHAnsi" w:hAnsiTheme="minorHAnsi" w:cs="Arial"/>
        </w:rPr>
        <w:t>l</w:t>
      </w:r>
      <w:r w:rsidR="00A049A2" w:rsidRPr="00C8794C">
        <w:rPr>
          <w:rFonts w:asciiTheme="minorHAnsi" w:hAnsiTheme="minorHAnsi" w:cs="Arial"/>
        </w:rPr>
        <w:t xml:space="preserve">lment for this second registry is due to </w:t>
      </w:r>
      <w:r w:rsidR="008B2222" w:rsidRPr="00C8794C">
        <w:rPr>
          <w:rFonts w:asciiTheme="minorHAnsi" w:hAnsiTheme="minorHAnsi" w:cs="Arial"/>
        </w:rPr>
        <w:t xml:space="preserve">be </w:t>
      </w:r>
      <w:r w:rsidR="00A049A2" w:rsidRPr="00C8794C">
        <w:rPr>
          <w:rFonts w:asciiTheme="minorHAnsi" w:hAnsiTheme="minorHAnsi" w:cs="Arial"/>
        </w:rPr>
        <w:t>complete</w:t>
      </w:r>
      <w:r w:rsidR="008B2222" w:rsidRPr="00C8794C">
        <w:rPr>
          <w:rFonts w:asciiTheme="minorHAnsi" w:hAnsiTheme="minorHAnsi" w:cs="Arial"/>
        </w:rPr>
        <w:t>d</w:t>
      </w:r>
      <w:r w:rsidR="00245615" w:rsidRPr="00C8794C">
        <w:rPr>
          <w:rFonts w:asciiTheme="minorHAnsi" w:hAnsiTheme="minorHAnsi" w:cs="Arial"/>
        </w:rPr>
        <w:t>by October 2011</w:t>
      </w:r>
      <w:r w:rsidR="00A049A2" w:rsidRPr="00C8794C">
        <w:rPr>
          <w:rFonts w:asciiTheme="minorHAnsi" w:hAnsiTheme="minorHAnsi" w:cs="Arial"/>
        </w:rPr>
        <w:t>.</w:t>
      </w:r>
    </w:p>
    <w:p w:rsidR="00777BB6" w:rsidRPr="00C8794C" w:rsidRDefault="00777BB6" w:rsidP="00C8794C">
      <w:pPr>
        <w:spacing w:after="120"/>
        <w:ind w:right="29"/>
        <w:jc w:val="both"/>
        <w:rPr>
          <w:rFonts w:asciiTheme="minorHAnsi" w:hAnsiTheme="minorHAnsi" w:cs="Arial"/>
          <w:b/>
          <w:lang w:val="en-GB" w:eastAsia="en-GB"/>
        </w:rPr>
      </w:pPr>
    </w:p>
    <w:p w:rsidR="005E7125" w:rsidRDefault="00777BB6" w:rsidP="005E7125">
      <w:pPr>
        <w:spacing w:after="120"/>
        <w:ind w:right="29"/>
        <w:jc w:val="right"/>
        <w:rPr>
          <w:rFonts w:asciiTheme="minorHAnsi" w:hAnsiTheme="minorHAnsi" w:cs="Arial"/>
          <w:b/>
          <w:lang w:val="en-GB" w:eastAsia="en-GB"/>
        </w:rPr>
      </w:pPr>
      <w:r w:rsidRPr="00C8794C">
        <w:rPr>
          <w:rFonts w:asciiTheme="minorHAnsi" w:hAnsiTheme="minorHAnsi" w:cs="Arial"/>
          <w:b/>
          <w:lang w:val="en-GB" w:eastAsia="en-GB"/>
        </w:rPr>
        <w:t>More/...</w:t>
      </w:r>
    </w:p>
    <w:p w:rsidR="00EF0C41" w:rsidRDefault="00EF0C41" w:rsidP="005E7125">
      <w:pPr>
        <w:spacing w:after="120"/>
        <w:ind w:right="29"/>
        <w:jc w:val="both"/>
        <w:rPr>
          <w:rFonts w:asciiTheme="minorHAnsi" w:hAnsiTheme="minorHAnsi" w:cs="Arial"/>
        </w:rPr>
      </w:pPr>
    </w:p>
    <w:p w:rsidR="00EF0C41" w:rsidRDefault="00EF0C41" w:rsidP="005E7125">
      <w:pPr>
        <w:spacing w:after="120"/>
        <w:ind w:right="29"/>
        <w:jc w:val="both"/>
        <w:rPr>
          <w:rFonts w:asciiTheme="minorHAnsi" w:hAnsiTheme="minorHAnsi" w:cs="Arial"/>
        </w:rPr>
      </w:pPr>
    </w:p>
    <w:p w:rsidR="00A21E3F" w:rsidRDefault="00DF5341" w:rsidP="005E7125">
      <w:pPr>
        <w:spacing w:after="120"/>
        <w:ind w:right="29"/>
        <w:jc w:val="both"/>
        <w:rPr>
          <w:rFonts w:asciiTheme="minorHAnsi" w:hAnsiTheme="minorHAnsi" w:cs="Arial"/>
        </w:rPr>
      </w:pPr>
      <w:r w:rsidRPr="00C8794C">
        <w:rPr>
          <w:rFonts w:asciiTheme="minorHAnsi" w:hAnsiTheme="minorHAnsi" w:cs="Arial"/>
        </w:rPr>
        <w:lastRenderedPageBreak/>
        <w:t>The PMS registry solely involved patients given the original BioMatrix, whereas the PMR involved patients given</w:t>
      </w:r>
      <w:r w:rsidRPr="00C8794C">
        <w:rPr>
          <w:rFonts w:asciiTheme="minorHAnsi" w:hAnsiTheme="minorHAnsi"/>
          <w:bCs/>
          <w:lang w:val="en-GB" w:eastAsia="en-GB"/>
        </w:rPr>
        <w:t xml:space="preserve"> both </w:t>
      </w:r>
      <w:r w:rsidRPr="00C8794C">
        <w:rPr>
          <w:rFonts w:asciiTheme="minorHAnsi" w:hAnsiTheme="minorHAnsi" w:cs="Arial"/>
        </w:rPr>
        <w:t xml:space="preserve">BioMatrix and </w:t>
      </w:r>
      <w:r w:rsidR="002F6CEB" w:rsidRPr="00C8794C">
        <w:rPr>
          <w:rFonts w:asciiTheme="minorHAnsi" w:hAnsiTheme="minorHAnsi" w:cs="Arial"/>
        </w:rPr>
        <w:t>BioMatrix Flex™.  I</w:t>
      </w:r>
      <w:r w:rsidR="00BD30F2" w:rsidRPr="00C8794C">
        <w:rPr>
          <w:rFonts w:asciiTheme="minorHAnsi" w:hAnsiTheme="minorHAnsi" w:cs="Arial"/>
        </w:rPr>
        <w:t>ntroduced in May 2010,</w:t>
      </w:r>
      <w:r w:rsidR="008B2222" w:rsidRPr="00C8794C">
        <w:rPr>
          <w:rFonts w:asciiTheme="minorHAnsi" w:hAnsiTheme="minorHAnsi" w:cs="Arial"/>
        </w:rPr>
        <w:t>BioMatrix Flex</w:t>
      </w:r>
      <w:r w:rsidR="00B27E87" w:rsidRPr="00C8794C">
        <w:rPr>
          <w:rFonts w:asciiTheme="minorHAnsi" w:hAnsiTheme="minorHAnsi" w:cs="Arial"/>
        </w:rPr>
        <w:t xml:space="preserve"> incorporates an improved mechanical platform for enhanced deliverability, whilst retaining the Biosensors-developed abluminally-coated biodegradable polymer and Biolimus A9</w:t>
      </w:r>
      <w:r w:rsidR="008B2222" w:rsidRPr="00C8794C">
        <w:rPr>
          <w:rFonts w:asciiTheme="minorHAnsi" w:hAnsiTheme="minorHAnsi" w:cs="Arial"/>
        </w:rPr>
        <w:t>, an anti-restenotic drug developed by Biosensors exclusively for u</w:t>
      </w:r>
      <w:r w:rsidR="00777BB6" w:rsidRPr="00C8794C">
        <w:rPr>
          <w:rFonts w:asciiTheme="minorHAnsi" w:hAnsiTheme="minorHAnsi" w:cs="Arial"/>
        </w:rPr>
        <w:t xml:space="preserve">se with drug-eluting stents, as used in </w:t>
      </w:r>
      <w:r w:rsidR="00B27E87" w:rsidRPr="00C8794C">
        <w:rPr>
          <w:rFonts w:asciiTheme="minorHAnsi" w:hAnsiTheme="minorHAnsi" w:cs="Arial"/>
        </w:rPr>
        <w:t>the original</w:t>
      </w:r>
      <w:r w:rsidR="002F6CEB" w:rsidRPr="00C8794C">
        <w:rPr>
          <w:rFonts w:asciiTheme="minorHAnsi" w:hAnsiTheme="minorHAnsi" w:cs="Arial"/>
        </w:rPr>
        <w:t>BioMatrix stent system</w:t>
      </w:r>
      <w:r w:rsidR="00B27E87" w:rsidRPr="00C8794C">
        <w:rPr>
          <w:rFonts w:asciiTheme="minorHAnsi" w:hAnsiTheme="minorHAnsi" w:cs="Arial"/>
        </w:rPr>
        <w:t>.</w:t>
      </w:r>
    </w:p>
    <w:p w:rsidR="00E5506C" w:rsidRPr="005E7125" w:rsidRDefault="00E5506C" w:rsidP="005E7125">
      <w:pPr>
        <w:spacing w:after="120"/>
        <w:ind w:right="29"/>
        <w:jc w:val="both"/>
        <w:rPr>
          <w:rFonts w:asciiTheme="minorHAnsi" w:hAnsiTheme="minorHAnsi" w:cs="Arial"/>
          <w:b/>
          <w:lang w:val="en-GB" w:eastAsia="en-GB"/>
        </w:rPr>
      </w:pPr>
      <w:bookmarkStart w:id="0" w:name="_GoBack"/>
      <w:bookmarkEnd w:id="0"/>
    </w:p>
    <w:p w:rsidR="00FA4173" w:rsidRPr="00C8794C" w:rsidRDefault="00FA4173" w:rsidP="00C8794C">
      <w:pPr>
        <w:spacing w:after="120"/>
        <w:jc w:val="center"/>
        <w:rPr>
          <w:rFonts w:asciiTheme="minorHAnsi" w:hAnsiTheme="minorHAnsi" w:cs="Arial"/>
        </w:rPr>
      </w:pPr>
      <w:r w:rsidRPr="00C8794C">
        <w:rPr>
          <w:rFonts w:asciiTheme="minorHAnsi" w:hAnsiTheme="minorHAnsi" w:cs="Arial"/>
          <w:b/>
          <w:bCs/>
        </w:rPr>
        <w:t>-Ends-</w:t>
      </w:r>
    </w:p>
    <w:p w:rsidR="00C8794C" w:rsidRDefault="00C8794C" w:rsidP="00C8794C">
      <w:pPr>
        <w:autoSpaceDE w:val="0"/>
        <w:autoSpaceDN w:val="0"/>
        <w:adjustRightInd w:val="0"/>
        <w:jc w:val="both"/>
        <w:rPr>
          <w:rFonts w:asciiTheme="minorHAnsi" w:hAnsiTheme="minorHAnsi"/>
          <w:b/>
          <w:bCs/>
        </w:rPr>
      </w:pPr>
    </w:p>
    <w:p w:rsidR="00D74E06" w:rsidRPr="00C8794C" w:rsidRDefault="00D74E06" w:rsidP="00C8794C">
      <w:pPr>
        <w:autoSpaceDE w:val="0"/>
        <w:autoSpaceDN w:val="0"/>
        <w:adjustRightInd w:val="0"/>
        <w:jc w:val="both"/>
        <w:rPr>
          <w:rFonts w:asciiTheme="minorHAnsi" w:hAnsiTheme="minorHAnsi"/>
          <w:b/>
          <w:bCs/>
        </w:rPr>
      </w:pPr>
      <w:r w:rsidRPr="00C8794C">
        <w:rPr>
          <w:rFonts w:asciiTheme="minorHAnsi" w:hAnsiTheme="minorHAnsi"/>
          <w:b/>
          <w:bCs/>
        </w:rPr>
        <w:t>For further information, please contact:</w:t>
      </w:r>
    </w:p>
    <w:p w:rsidR="00E5506C" w:rsidRDefault="00E5506C" w:rsidP="00E5506C">
      <w:pPr>
        <w:autoSpaceDE w:val="0"/>
        <w:autoSpaceDN w:val="0"/>
        <w:adjustRightInd w:val="0"/>
        <w:jc w:val="both"/>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2"/>
        <w:gridCol w:w="5343"/>
      </w:tblGrid>
      <w:tr w:rsidR="00E5506C" w:rsidTr="00E5506C">
        <w:tc>
          <w:tcPr>
            <w:tcW w:w="5342" w:type="dxa"/>
          </w:tcPr>
          <w:p w:rsidR="00E5506C" w:rsidRDefault="00E5506C">
            <w:pPr>
              <w:autoSpaceDE w:val="0"/>
              <w:autoSpaceDN w:val="0"/>
              <w:adjustRightInd w:val="0"/>
              <w:jc w:val="both"/>
              <w:rPr>
                <w:rFonts w:asciiTheme="minorHAnsi" w:hAnsiTheme="minorHAnsi"/>
                <w:u w:val="single"/>
              </w:rPr>
            </w:pPr>
            <w:r>
              <w:rPr>
                <w:rFonts w:asciiTheme="minorHAnsi" w:hAnsiTheme="minorHAnsi"/>
                <w:u w:val="single"/>
              </w:rPr>
              <w:t>Corporate Communications</w:t>
            </w:r>
          </w:p>
          <w:p w:rsidR="00E5506C" w:rsidRDefault="00E5506C">
            <w:pPr>
              <w:autoSpaceDE w:val="0"/>
              <w:autoSpaceDN w:val="0"/>
              <w:adjustRightInd w:val="0"/>
              <w:jc w:val="both"/>
              <w:rPr>
                <w:rFonts w:asciiTheme="minorHAnsi" w:hAnsiTheme="minorHAnsi"/>
              </w:rPr>
            </w:pPr>
            <w:r>
              <w:rPr>
                <w:rFonts w:asciiTheme="minorHAnsi" w:hAnsiTheme="minorHAnsi"/>
              </w:rPr>
              <w:t>Richard Kenyon</w:t>
            </w:r>
          </w:p>
          <w:p w:rsidR="00E5506C" w:rsidRDefault="00E5506C">
            <w:pPr>
              <w:autoSpaceDE w:val="0"/>
              <w:autoSpaceDN w:val="0"/>
              <w:adjustRightInd w:val="0"/>
              <w:jc w:val="both"/>
              <w:rPr>
                <w:rFonts w:asciiTheme="minorHAnsi" w:hAnsiTheme="minorHAnsi"/>
              </w:rPr>
            </w:pPr>
            <w:r>
              <w:rPr>
                <w:rFonts w:asciiTheme="minorHAnsi" w:hAnsiTheme="minorHAnsi"/>
              </w:rPr>
              <w:t>Biosensors International</w:t>
            </w:r>
          </w:p>
          <w:p w:rsidR="00E5506C" w:rsidRDefault="00E5506C">
            <w:pPr>
              <w:autoSpaceDE w:val="0"/>
              <w:autoSpaceDN w:val="0"/>
              <w:adjustRightInd w:val="0"/>
              <w:jc w:val="both"/>
              <w:rPr>
                <w:rFonts w:asciiTheme="minorHAnsi" w:hAnsiTheme="minorHAnsi"/>
              </w:rPr>
            </w:pPr>
            <w:r>
              <w:rPr>
                <w:rFonts w:asciiTheme="minorHAnsi" w:hAnsiTheme="minorHAnsi"/>
              </w:rPr>
              <w:t>+44 7831569940</w:t>
            </w:r>
          </w:p>
          <w:p w:rsidR="00E5506C" w:rsidRDefault="00FE6745">
            <w:pPr>
              <w:autoSpaceDE w:val="0"/>
              <w:autoSpaceDN w:val="0"/>
              <w:adjustRightInd w:val="0"/>
              <w:jc w:val="both"/>
              <w:rPr>
                <w:rFonts w:asciiTheme="minorHAnsi" w:hAnsiTheme="minorHAnsi"/>
              </w:rPr>
            </w:pPr>
            <w:hyperlink r:id="rId9" w:history="1">
              <w:r w:rsidR="00E5506C">
                <w:rPr>
                  <w:rStyle w:val="Hyperlink"/>
                  <w:rFonts w:asciiTheme="minorHAnsi" w:hAnsiTheme="minorHAnsi"/>
                </w:rPr>
                <w:t>r.kenyon@biosensors.com</w:t>
              </w:r>
            </w:hyperlink>
          </w:p>
          <w:p w:rsidR="00E5506C" w:rsidRDefault="00E5506C">
            <w:pPr>
              <w:autoSpaceDE w:val="0"/>
              <w:autoSpaceDN w:val="0"/>
              <w:adjustRightInd w:val="0"/>
              <w:jc w:val="both"/>
              <w:rPr>
                <w:rFonts w:asciiTheme="minorHAnsi" w:hAnsiTheme="minorHAnsi"/>
                <w:u w:val="single"/>
              </w:rPr>
            </w:pPr>
          </w:p>
        </w:tc>
        <w:tc>
          <w:tcPr>
            <w:tcW w:w="5343" w:type="dxa"/>
          </w:tcPr>
          <w:p w:rsidR="00E5506C" w:rsidRDefault="00E5506C">
            <w:pPr>
              <w:autoSpaceDE w:val="0"/>
              <w:autoSpaceDN w:val="0"/>
              <w:adjustRightInd w:val="0"/>
              <w:rPr>
                <w:rFonts w:asciiTheme="minorHAnsi" w:hAnsiTheme="minorHAnsi" w:cstheme="minorHAnsi"/>
                <w:u w:val="single"/>
              </w:rPr>
            </w:pPr>
            <w:r>
              <w:rPr>
                <w:rFonts w:asciiTheme="minorHAnsi" w:hAnsiTheme="minorHAnsi" w:cstheme="minorHAnsi"/>
                <w:u w:val="single"/>
              </w:rPr>
              <w:t>Investor Relations</w:t>
            </w:r>
          </w:p>
          <w:p w:rsidR="00E5506C" w:rsidRDefault="00E5506C">
            <w:pPr>
              <w:autoSpaceDE w:val="0"/>
              <w:autoSpaceDN w:val="0"/>
              <w:adjustRightInd w:val="0"/>
              <w:rPr>
                <w:rFonts w:asciiTheme="minorHAnsi" w:hAnsiTheme="minorHAnsi" w:cstheme="minorHAnsi"/>
              </w:rPr>
            </w:pPr>
            <w:r>
              <w:rPr>
                <w:rFonts w:asciiTheme="minorHAnsi" w:hAnsiTheme="minorHAnsi" w:cstheme="minorHAnsi"/>
              </w:rPr>
              <w:t>Wong TeckYenn</w:t>
            </w:r>
          </w:p>
          <w:p w:rsidR="00E5506C" w:rsidRDefault="00E5506C">
            <w:pPr>
              <w:autoSpaceDE w:val="0"/>
              <w:autoSpaceDN w:val="0"/>
              <w:adjustRightInd w:val="0"/>
              <w:rPr>
                <w:rFonts w:asciiTheme="minorHAnsi" w:hAnsiTheme="minorHAnsi" w:cstheme="minorHAnsi"/>
              </w:rPr>
            </w:pPr>
            <w:r>
              <w:rPr>
                <w:rFonts w:asciiTheme="minorHAnsi" w:hAnsiTheme="minorHAnsi" w:cstheme="minorHAnsi"/>
              </w:rPr>
              <w:t>Biosensors International Group</w:t>
            </w:r>
          </w:p>
          <w:p w:rsidR="00E5506C" w:rsidRDefault="00E5506C">
            <w:pPr>
              <w:autoSpaceDE w:val="0"/>
              <w:autoSpaceDN w:val="0"/>
              <w:adjustRightInd w:val="0"/>
              <w:rPr>
                <w:rFonts w:asciiTheme="minorHAnsi" w:hAnsiTheme="minorHAnsi" w:cstheme="minorHAnsi"/>
              </w:rPr>
            </w:pPr>
            <w:r>
              <w:rPr>
                <w:rFonts w:asciiTheme="minorHAnsi" w:hAnsiTheme="minorHAnsi" w:cstheme="minorHAnsi"/>
              </w:rPr>
              <w:t>+65 6213 5708</w:t>
            </w:r>
          </w:p>
          <w:p w:rsidR="00E5506C" w:rsidRDefault="00FE6745">
            <w:pPr>
              <w:autoSpaceDE w:val="0"/>
              <w:autoSpaceDN w:val="0"/>
              <w:adjustRightInd w:val="0"/>
              <w:rPr>
                <w:rFonts w:asciiTheme="minorHAnsi" w:hAnsiTheme="minorHAnsi" w:cstheme="minorHAnsi"/>
              </w:rPr>
            </w:pPr>
            <w:hyperlink r:id="rId10" w:history="1">
              <w:r w:rsidR="00E5506C">
                <w:rPr>
                  <w:rStyle w:val="Hyperlink"/>
                  <w:rFonts w:asciiTheme="minorHAnsi" w:hAnsiTheme="minorHAnsi" w:cstheme="minorHAnsi"/>
                </w:rPr>
                <w:t>ty.wong@biosensors.com</w:t>
              </w:r>
            </w:hyperlink>
          </w:p>
          <w:p w:rsidR="00E5506C" w:rsidRDefault="00E5506C">
            <w:pPr>
              <w:autoSpaceDE w:val="0"/>
              <w:autoSpaceDN w:val="0"/>
              <w:adjustRightInd w:val="0"/>
              <w:jc w:val="both"/>
              <w:rPr>
                <w:rFonts w:asciiTheme="minorHAnsi" w:hAnsiTheme="minorHAnsi"/>
                <w:u w:val="single"/>
              </w:rPr>
            </w:pPr>
          </w:p>
        </w:tc>
      </w:tr>
    </w:tbl>
    <w:p w:rsidR="00D74E06" w:rsidRPr="00C8794C" w:rsidRDefault="00D74E06" w:rsidP="00C8794C">
      <w:pPr>
        <w:autoSpaceDE w:val="0"/>
        <w:autoSpaceDN w:val="0"/>
        <w:adjustRightInd w:val="0"/>
        <w:jc w:val="both"/>
        <w:rPr>
          <w:rFonts w:asciiTheme="minorHAnsi" w:hAnsiTheme="minorHAnsi"/>
          <w:b/>
          <w:bCs/>
        </w:rPr>
      </w:pPr>
    </w:p>
    <w:p w:rsidR="004661AC" w:rsidRPr="00C8794C" w:rsidRDefault="004661AC" w:rsidP="00C8794C">
      <w:pPr>
        <w:autoSpaceDE w:val="0"/>
        <w:autoSpaceDN w:val="0"/>
        <w:adjustRightInd w:val="0"/>
        <w:jc w:val="both"/>
        <w:rPr>
          <w:rFonts w:asciiTheme="minorHAnsi" w:hAnsiTheme="minorHAnsi" w:cs="Calibri-Bold"/>
          <w:b/>
          <w:bCs/>
        </w:rPr>
      </w:pPr>
      <w:r w:rsidRPr="00C8794C">
        <w:rPr>
          <w:rFonts w:asciiTheme="minorHAnsi" w:hAnsiTheme="minorHAnsi" w:cs="Calibri-Bold"/>
          <w:b/>
          <w:bCs/>
        </w:rPr>
        <w:t>About Biosensors International</w:t>
      </w:r>
    </w:p>
    <w:p w:rsidR="0092045A" w:rsidRPr="00C8794C" w:rsidRDefault="0092045A" w:rsidP="00C8794C">
      <w:pPr>
        <w:autoSpaceDE w:val="0"/>
        <w:autoSpaceDN w:val="0"/>
        <w:adjustRightInd w:val="0"/>
        <w:jc w:val="both"/>
        <w:rPr>
          <w:rFonts w:asciiTheme="minorHAnsi" w:hAnsiTheme="minorHAnsi" w:cstheme="minorHAnsi"/>
        </w:rPr>
      </w:pPr>
      <w:r w:rsidRPr="00C8794C">
        <w:rPr>
          <w:rFonts w:asciiTheme="minorHAnsi" w:hAnsiTheme="minorHAnsi" w:cstheme="minorHAnsi"/>
        </w:rPr>
        <w:t>Biosensors International develops, manufactures and markets innovative medical devices for interventional cardiology and crit</w:t>
      </w:r>
      <w:r w:rsidR="00C8794C">
        <w:rPr>
          <w:rFonts w:asciiTheme="minorHAnsi" w:hAnsiTheme="minorHAnsi" w:cstheme="minorHAnsi"/>
        </w:rPr>
        <w:t>ical care procedures. We aim</w:t>
      </w:r>
      <w:r w:rsidRPr="00C8794C">
        <w:rPr>
          <w:rFonts w:asciiTheme="minorHAnsi" w:hAnsiTheme="minorHAnsi" w:cstheme="minorHAnsi"/>
        </w:rPr>
        <w:t xml:space="preserve"> to improve patients' lives through pioneering medical technology that pushes forward the boundaries of innovation.</w:t>
      </w:r>
    </w:p>
    <w:p w:rsidR="0092045A" w:rsidRPr="00C8794C" w:rsidRDefault="0092045A" w:rsidP="00C8794C">
      <w:pPr>
        <w:autoSpaceDE w:val="0"/>
        <w:autoSpaceDN w:val="0"/>
        <w:adjustRightInd w:val="0"/>
        <w:jc w:val="both"/>
        <w:rPr>
          <w:rFonts w:asciiTheme="minorHAnsi" w:hAnsiTheme="minorHAnsi" w:cstheme="minorHAnsi"/>
        </w:rPr>
      </w:pPr>
    </w:p>
    <w:p w:rsidR="0092045A" w:rsidRPr="00C8794C" w:rsidRDefault="0092045A" w:rsidP="00C8794C">
      <w:pPr>
        <w:autoSpaceDE w:val="0"/>
        <w:autoSpaceDN w:val="0"/>
        <w:adjustRightInd w:val="0"/>
        <w:jc w:val="both"/>
        <w:rPr>
          <w:rFonts w:asciiTheme="minorHAnsi" w:hAnsiTheme="minorHAnsi" w:cstheme="minorHAnsi"/>
          <w:lang w:eastAsia="en-GB"/>
        </w:rPr>
      </w:pPr>
      <w:r w:rsidRPr="00C8794C">
        <w:rPr>
          <w:rFonts w:asciiTheme="minorHAnsi" w:hAnsiTheme="minorHAnsi" w:cstheme="minorHAnsi"/>
          <w:lang w:eastAsia="en-GB"/>
        </w:rPr>
        <w:t xml:space="preserve">With the increasing use of the </w:t>
      </w:r>
      <w:r w:rsidR="004B05C4">
        <w:rPr>
          <w:rFonts w:asciiTheme="minorHAnsi" w:hAnsiTheme="minorHAnsi" w:cstheme="minorHAnsi"/>
          <w:iCs/>
        </w:rPr>
        <w:t>BioMatrix</w:t>
      </w:r>
      <w:r w:rsidRPr="00C8794C">
        <w:rPr>
          <w:rFonts w:asciiTheme="minorHAnsi" w:hAnsiTheme="minorHAnsi" w:cstheme="minorHAnsi"/>
          <w:iCs/>
        </w:rPr>
        <w:t>™ fami</w:t>
      </w:r>
      <w:r w:rsidR="003C09D7" w:rsidRPr="00C8794C">
        <w:rPr>
          <w:rFonts w:asciiTheme="minorHAnsi" w:hAnsiTheme="minorHAnsi" w:cstheme="minorHAnsi"/>
          <w:iCs/>
        </w:rPr>
        <w:t>ly of drug-eluting stents</w:t>
      </w:r>
      <w:r w:rsidRPr="00C8794C">
        <w:rPr>
          <w:rFonts w:asciiTheme="minorHAnsi" w:hAnsiTheme="minorHAnsi" w:cstheme="minorHAnsi"/>
          <w:iCs/>
        </w:rPr>
        <w:t xml:space="preserve">, </w:t>
      </w:r>
      <w:r w:rsidRPr="00C8794C">
        <w:rPr>
          <w:rFonts w:asciiTheme="minorHAnsi" w:hAnsiTheme="minorHAnsi" w:cstheme="minorHAnsi"/>
        </w:rPr>
        <w:t xml:space="preserve">we are </w:t>
      </w:r>
      <w:r w:rsidRPr="00C8794C">
        <w:rPr>
          <w:rFonts w:asciiTheme="minorHAnsi" w:hAnsiTheme="minorHAnsi" w:cstheme="minorHAnsi"/>
          <w:lang w:eastAsia="en-GB"/>
        </w:rPr>
        <w:t>rapidly emerging as a leader in th</w:t>
      </w:r>
      <w:r w:rsidR="00C8794C">
        <w:rPr>
          <w:rFonts w:asciiTheme="minorHAnsi" w:hAnsiTheme="minorHAnsi" w:cstheme="minorHAnsi"/>
          <w:lang w:eastAsia="en-GB"/>
        </w:rPr>
        <w:t xml:space="preserve">e global coronary stent market. </w:t>
      </w:r>
      <w:r w:rsidRPr="00C8794C">
        <w:rPr>
          <w:rFonts w:asciiTheme="minorHAnsi" w:hAnsiTheme="minorHAnsi" w:cstheme="minorHAnsi"/>
          <w:lang w:eastAsia="en-GB"/>
        </w:rPr>
        <w:t>Th</w:t>
      </w:r>
      <w:r w:rsidR="00C8794C">
        <w:rPr>
          <w:rFonts w:asciiTheme="minorHAnsi" w:hAnsiTheme="minorHAnsi" w:cstheme="minorHAnsi"/>
          <w:lang w:eastAsia="en-GB"/>
        </w:rPr>
        <w:t>e forthcoming launch of</w:t>
      </w:r>
      <w:r w:rsidRPr="00C8794C">
        <w:rPr>
          <w:rFonts w:asciiTheme="minorHAnsi" w:hAnsiTheme="minorHAnsi" w:cstheme="minorHAnsi"/>
          <w:iCs/>
        </w:rPr>
        <w:t xml:space="preserve">the Axxess™ </w:t>
      </w:r>
      <w:r w:rsidR="003C09D7" w:rsidRPr="00C8794C">
        <w:rPr>
          <w:rFonts w:asciiTheme="minorHAnsi" w:hAnsiTheme="minorHAnsi" w:cstheme="minorHAnsi"/>
          <w:iCs/>
        </w:rPr>
        <w:t xml:space="preserve">self-expanding </w:t>
      </w:r>
      <w:r w:rsidRPr="00C8794C">
        <w:rPr>
          <w:rFonts w:asciiTheme="minorHAnsi" w:hAnsiTheme="minorHAnsi" w:cstheme="minorHAnsi"/>
          <w:iCs/>
        </w:rPr>
        <w:t>bifur</w:t>
      </w:r>
      <w:r w:rsidR="003C09D7" w:rsidRPr="00C8794C">
        <w:rPr>
          <w:rFonts w:asciiTheme="minorHAnsi" w:hAnsiTheme="minorHAnsi" w:cstheme="minorHAnsi"/>
          <w:iCs/>
        </w:rPr>
        <w:t>cation drug-eluting stent</w:t>
      </w:r>
      <w:r w:rsidRPr="00C8794C">
        <w:rPr>
          <w:rFonts w:asciiTheme="minorHAnsi" w:hAnsiTheme="minorHAnsi" w:cstheme="minorHAnsi"/>
        </w:rPr>
        <w:t>and the development of the BioFreedom™</w:t>
      </w:r>
      <w:r w:rsidR="003C09D7" w:rsidRPr="00C8794C">
        <w:rPr>
          <w:rFonts w:asciiTheme="minorHAnsi" w:hAnsiTheme="minorHAnsi" w:cstheme="minorHAnsi"/>
        </w:rPr>
        <w:t xml:space="preserve"> drug-coated stent</w:t>
      </w:r>
      <w:r w:rsidR="00C8794C">
        <w:rPr>
          <w:rFonts w:asciiTheme="minorHAnsi" w:hAnsiTheme="minorHAnsi" w:cstheme="minorHAnsi"/>
        </w:rPr>
        <w:t xml:space="preserve"> will further reinforce our market position</w:t>
      </w:r>
      <w:r w:rsidRPr="00C8794C">
        <w:rPr>
          <w:rFonts w:asciiTheme="minorHAnsi" w:hAnsiTheme="minorHAnsi" w:cstheme="minorHAnsi"/>
        </w:rPr>
        <w:t xml:space="preserve">. </w:t>
      </w:r>
    </w:p>
    <w:p w:rsidR="0092045A" w:rsidRPr="00C8794C" w:rsidRDefault="0092045A" w:rsidP="00C8794C">
      <w:pPr>
        <w:autoSpaceDE w:val="0"/>
        <w:autoSpaceDN w:val="0"/>
        <w:adjustRightInd w:val="0"/>
        <w:jc w:val="both"/>
        <w:rPr>
          <w:rFonts w:asciiTheme="minorHAnsi" w:hAnsiTheme="minorHAnsi" w:cstheme="minorHAnsi"/>
        </w:rPr>
      </w:pPr>
    </w:p>
    <w:p w:rsidR="0092045A" w:rsidRPr="00C8794C" w:rsidRDefault="003C09D7" w:rsidP="00C8794C">
      <w:pPr>
        <w:autoSpaceDE w:val="0"/>
        <w:autoSpaceDN w:val="0"/>
        <w:adjustRightInd w:val="0"/>
        <w:jc w:val="both"/>
        <w:rPr>
          <w:rFonts w:asciiTheme="minorHAnsi" w:hAnsiTheme="minorHAnsi" w:cstheme="minorHAnsi"/>
          <w:lang w:eastAsia="en-GB"/>
        </w:rPr>
      </w:pPr>
      <w:r w:rsidRPr="00C8794C">
        <w:rPr>
          <w:rFonts w:asciiTheme="minorHAnsi" w:hAnsiTheme="minorHAnsi" w:cstheme="minorHAnsi"/>
        </w:rPr>
        <w:t>All three stents</w:t>
      </w:r>
      <w:r w:rsidR="0092045A" w:rsidRPr="00C8794C">
        <w:rPr>
          <w:rFonts w:asciiTheme="minorHAnsi" w:hAnsiTheme="minorHAnsi" w:cstheme="minorHAnsi"/>
        </w:rPr>
        <w:t xml:space="preserve"> incorporate Biolimus A9™ (BA9</w:t>
      </w:r>
      <w:r w:rsidR="007F089B" w:rsidRPr="00C8794C">
        <w:rPr>
          <w:rFonts w:asciiTheme="minorHAnsi" w:hAnsiTheme="minorHAnsi" w:cstheme="minorHAnsi"/>
        </w:rPr>
        <w:t>™</w:t>
      </w:r>
      <w:r w:rsidR="0092045A" w:rsidRPr="00C8794C">
        <w:rPr>
          <w:rFonts w:asciiTheme="minorHAnsi" w:hAnsiTheme="minorHAnsi" w:cstheme="minorHAnsi"/>
        </w:rPr>
        <w:t xml:space="preserve">), an anti-restenotic drug developed </w:t>
      </w:r>
      <w:r w:rsidRPr="00C8794C">
        <w:rPr>
          <w:rFonts w:asciiTheme="minorHAnsi" w:hAnsiTheme="minorHAnsi" w:cstheme="minorHAnsi"/>
        </w:rPr>
        <w:t xml:space="preserve">and patented </w:t>
      </w:r>
      <w:r w:rsidR="00C8794C">
        <w:rPr>
          <w:rFonts w:asciiTheme="minorHAnsi" w:hAnsiTheme="minorHAnsi" w:cstheme="minorHAnsi"/>
        </w:rPr>
        <w:t>by Biosensors specifically</w:t>
      </w:r>
      <w:r w:rsidR="0092045A" w:rsidRPr="00C8794C">
        <w:rPr>
          <w:rFonts w:asciiTheme="minorHAnsi" w:hAnsiTheme="minorHAnsi" w:cstheme="minorHAnsi"/>
        </w:rPr>
        <w:t xml:space="preserve"> for use with drug-eluting stents. Both </w:t>
      </w:r>
      <w:r w:rsidR="00245615" w:rsidRPr="00C8794C">
        <w:rPr>
          <w:rFonts w:asciiTheme="minorHAnsi" w:hAnsiTheme="minorHAnsi" w:cstheme="minorHAnsi"/>
        </w:rPr>
        <w:t xml:space="preserve">the </w:t>
      </w:r>
      <w:r w:rsidR="0092045A" w:rsidRPr="00C8794C">
        <w:rPr>
          <w:rFonts w:asciiTheme="minorHAnsi" w:hAnsiTheme="minorHAnsi" w:cstheme="minorHAnsi"/>
        </w:rPr>
        <w:t>BioMatrix</w:t>
      </w:r>
      <w:r w:rsidR="00245615" w:rsidRPr="00C8794C">
        <w:rPr>
          <w:rFonts w:asciiTheme="minorHAnsi" w:hAnsiTheme="minorHAnsi" w:cstheme="minorHAnsi"/>
        </w:rPr>
        <w:t xml:space="preserve"> stent family</w:t>
      </w:r>
      <w:r w:rsidR="0092045A" w:rsidRPr="00C8794C">
        <w:rPr>
          <w:rFonts w:asciiTheme="minorHAnsi" w:hAnsiTheme="minorHAnsi" w:cstheme="minorHAnsi"/>
        </w:rPr>
        <w:t xml:space="preserve"> and </w:t>
      </w:r>
      <w:r w:rsidRPr="00C8794C">
        <w:rPr>
          <w:rFonts w:asciiTheme="minorHAnsi" w:hAnsiTheme="minorHAnsi" w:cstheme="minorHAnsi"/>
        </w:rPr>
        <w:t xml:space="preserve">the </w:t>
      </w:r>
      <w:r w:rsidR="0092045A" w:rsidRPr="00C8794C">
        <w:rPr>
          <w:rFonts w:asciiTheme="minorHAnsi" w:hAnsiTheme="minorHAnsi" w:cstheme="minorHAnsi"/>
        </w:rPr>
        <w:t>Axxess</w:t>
      </w:r>
      <w:r w:rsidRPr="00C8794C">
        <w:rPr>
          <w:rFonts w:asciiTheme="minorHAnsi" w:hAnsiTheme="minorHAnsi" w:cstheme="minorHAnsi"/>
        </w:rPr>
        <w:t xml:space="preserve">stent </w:t>
      </w:r>
      <w:r w:rsidR="0092045A" w:rsidRPr="00C8794C">
        <w:rPr>
          <w:rFonts w:asciiTheme="minorHAnsi" w:hAnsiTheme="minorHAnsi" w:cstheme="minorHAnsi"/>
        </w:rPr>
        <w:t>feature a unique abluminal biodegradable polymer</w:t>
      </w:r>
      <w:r w:rsidR="00E35AAA" w:rsidRPr="00C8794C">
        <w:rPr>
          <w:rFonts w:asciiTheme="minorHAnsi" w:hAnsiTheme="minorHAnsi" w:cstheme="minorHAnsi"/>
        </w:rPr>
        <w:t xml:space="preserve"> coating</w:t>
      </w:r>
      <w:r w:rsidR="0092045A" w:rsidRPr="00C8794C">
        <w:rPr>
          <w:rFonts w:asciiTheme="minorHAnsi" w:hAnsiTheme="minorHAnsi" w:cstheme="minorHAnsi"/>
        </w:rPr>
        <w:t>, which fully degrades int</w:t>
      </w:r>
      <w:r w:rsidR="008F3232">
        <w:rPr>
          <w:rFonts w:asciiTheme="minorHAnsi" w:hAnsiTheme="minorHAnsi" w:cstheme="minorHAnsi"/>
        </w:rPr>
        <w:t>o carbon dioxide and water over</w:t>
      </w:r>
      <w:r w:rsidR="00C8794C">
        <w:rPr>
          <w:rFonts w:asciiTheme="minorHAnsi" w:hAnsiTheme="minorHAnsi" w:cstheme="minorHAnsi"/>
        </w:rPr>
        <w:t xml:space="preserve"> a six-to-nine-</w:t>
      </w:r>
      <w:r w:rsidR="0092045A" w:rsidRPr="00C8794C">
        <w:rPr>
          <w:rFonts w:asciiTheme="minorHAnsi" w:hAnsiTheme="minorHAnsi" w:cstheme="minorHAnsi"/>
        </w:rPr>
        <w:t>month period as it releases BA9. The BioMatrix stent family feature</w:t>
      </w:r>
      <w:r w:rsidR="00E35AAA" w:rsidRPr="00C8794C">
        <w:rPr>
          <w:rFonts w:asciiTheme="minorHAnsi" w:hAnsiTheme="minorHAnsi" w:cstheme="minorHAnsi"/>
        </w:rPr>
        <w:t>s</w:t>
      </w:r>
      <w:r w:rsidR="0092045A" w:rsidRPr="00C8794C">
        <w:rPr>
          <w:rFonts w:asciiTheme="minorHAnsi" w:hAnsiTheme="minorHAnsi" w:cstheme="minorHAnsi"/>
        </w:rPr>
        <w:t xml:space="preserve"> workhorse stent platforms for a broad range of lesions, and </w:t>
      </w:r>
      <w:r w:rsidRPr="00C8794C">
        <w:rPr>
          <w:rFonts w:asciiTheme="minorHAnsi" w:hAnsiTheme="minorHAnsi" w:cstheme="minorHAnsi"/>
        </w:rPr>
        <w:t xml:space="preserve">the </w:t>
      </w:r>
      <w:r w:rsidR="0092045A" w:rsidRPr="00C8794C">
        <w:rPr>
          <w:rFonts w:asciiTheme="minorHAnsi" w:hAnsiTheme="minorHAnsi" w:cstheme="minorHAnsi"/>
        </w:rPr>
        <w:t>Axxess</w:t>
      </w:r>
      <w:r w:rsidRPr="00C8794C">
        <w:rPr>
          <w:rFonts w:asciiTheme="minorHAnsi" w:hAnsiTheme="minorHAnsi" w:cstheme="minorHAnsi"/>
        </w:rPr>
        <w:t xml:space="preserve">stent </w:t>
      </w:r>
      <w:r w:rsidR="00C8794C">
        <w:rPr>
          <w:rFonts w:asciiTheme="minorHAnsi" w:hAnsiTheme="minorHAnsi" w:cstheme="minorHAnsi"/>
        </w:rPr>
        <w:t>employs</w:t>
      </w:r>
      <w:r w:rsidR="0092045A" w:rsidRPr="00C8794C">
        <w:rPr>
          <w:rFonts w:asciiTheme="minorHAnsi" w:hAnsiTheme="minorHAnsi" w:cstheme="minorHAnsi"/>
        </w:rPr>
        <w:t xml:space="preserve"> a self-expanding stent platform specifically designed for treating bif</w:t>
      </w:r>
      <w:r w:rsidR="00C8794C">
        <w:rPr>
          <w:rFonts w:asciiTheme="minorHAnsi" w:hAnsiTheme="minorHAnsi" w:cstheme="minorHAnsi"/>
        </w:rPr>
        <w:t xml:space="preserve">urcation lesions. BioFreedom, a </w:t>
      </w:r>
      <w:r w:rsidR="0092045A" w:rsidRPr="00C8794C">
        <w:rPr>
          <w:rFonts w:asciiTheme="minorHAnsi" w:hAnsiTheme="minorHAnsi" w:cstheme="minorHAnsi"/>
        </w:rPr>
        <w:t>compl</w:t>
      </w:r>
      <w:r w:rsidRPr="00C8794C">
        <w:rPr>
          <w:rFonts w:asciiTheme="minorHAnsi" w:hAnsiTheme="minorHAnsi" w:cstheme="minorHAnsi"/>
        </w:rPr>
        <w:t xml:space="preserve">etely polymer‐free stent </w:t>
      </w:r>
      <w:r w:rsidR="0092045A" w:rsidRPr="00C8794C">
        <w:rPr>
          <w:rFonts w:asciiTheme="minorHAnsi" w:hAnsiTheme="minorHAnsi" w:cstheme="minorHAnsi"/>
        </w:rPr>
        <w:t>abl</w:t>
      </w:r>
      <w:r w:rsidR="00C8794C">
        <w:rPr>
          <w:rFonts w:asciiTheme="minorHAnsi" w:hAnsiTheme="minorHAnsi" w:cstheme="minorHAnsi"/>
        </w:rPr>
        <w:t>uminally coated with BA9, is currently undergoing clinical evaluation</w:t>
      </w:r>
      <w:r w:rsidR="0092045A" w:rsidRPr="00C8794C">
        <w:rPr>
          <w:rFonts w:asciiTheme="minorHAnsi" w:hAnsiTheme="minorHAnsi" w:cstheme="minorHAnsi"/>
        </w:rPr>
        <w:t>.</w:t>
      </w:r>
    </w:p>
    <w:p w:rsidR="004661AC" w:rsidRPr="00C8794C" w:rsidRDefault="004661AC" w:rsidP="00C8794C">
      <w:pPr>
        <w:autoSpaceDE w:val="0"/>
        <w:autoSpaceDN w:val="0"/>
        <w:adjustRightInd w:val="0"/>
        <w:jc w:val="both"/>
        <w:rPr>
          <w:rFonts w:asciiTheme="minorHAnsi" w:hAnsiTheme="minorHAnsi" w:cstheme="minorHAnsi"/>
        </w:rPr>
      </w:pPr>
    </w:p>
    <w:p w:rsidR="004661AC" w:rsidRPr="00C8794C" w:rsidRDefault="004661AC" w:rsidP="00C8794C">
      <w:pPr>
        <w:autoSpaceDE w:val="0"/>
        <w:autoSpaceDN w:val="0"/>
        <w:adjustRightInd w:val="0"/>
        <w:jc w:val="both"/>
        <w:rPr>
          <w:rStyle w:val="bodytext1"/>
          <w:rFonts w:asciiTheme="minorHAnsi" w:hAnsiTheme="minorHAnsi" w:cstheme="minorHAnsi"/>
          <w:color w:val="auto"/>
          <w:sz w:val="24"/>
          <w:szCs w:val="24"/>
        </w:rPr>
      </w:pPr>
      <w:r w:rsidRPr="00C8794C">
        <w:rPr>
          <w:rFonts w:asciiTheme="minorHAnsi" w:hAnsiTheme="minorHAnsi" w:cstheme="minorHAnsi"/>
        </w:rPr>
        <w:t xml:space="preserve">For more information, please visit </w:t>
      </w:r>
      <w:hyperlink r:id="rId11" w:history="1">
        <w:r w:rsidRPr="00C8794C">
          <w:rPr>
            <w:rStyle w:val="Hyperlink"/>
            <w:rFonts w:asciiTheme="minorHAnsi" w:hAnsiTheme="minorHAnsi" w:cstheme="minorHAnsi"/>
            <w:color w:val="auto"/>
          </w:rPr>
          <w:t>www.biosensors.com</w:t>
        </w:r>
      </w:hyperlink>
      <w:r w:rsidRPr="00C8794C">
        <w:rPr>
          <w:rFonts w:asciiTheme="minorHAnsi" w:hAnsiTheme="minorHAnsi" w:cstheme="minorHAnsi"/>
        </w:rPr>
        <w:t>.</w:t>
      </w:r>
    </w:p>
    <w:p w:rsidR="00865513" w:rsidRPr="00C8794C" w:rsidRDefault="00865513" w:rsidP="00C8794C">
      <w:pPr>
        <w:autoSpaceDE w:val="0"/>
        <w:autoSpaceDN w:val="0"/>
        <w:adjustRightInd w:val="0"/>
        <w:jc w:val="both"/>
        <w:rPr>
          <w:rFonts w:asciiTheme="minorHAnsi" w:hAnsiTheme="minorHAnsi" w:cstheme="minorHAnsi"/>
        </w:rPr>
      </w:pPr>
    </w:p>
    <w:p w:rsidR="00865513" w:rsidRPr="00832467" w:rsidRDefault="00865513" w:rsidP="00832467">
      <w:pPr>
        <w:autoSpaceDE w:val="0"/>
        <w:autoSpaceDN w:val="0"/>
        <w:adjustRightInd w:val="0"/>
        <w:jc w:val="both"/>
        <w:rPr>
          <w:rStyle w:val="bodytext1"/>
          <w:rFonts w:asciiTheme="minorHAnsi" w:hAnsiTheme="minorHAnsi" w:cs="Calibri"/>
          <w:sz w:val="24"/>
          <w:szCs w:val="24"/>
        </w:rPr>
      </w:pPr>
    </w:p>
    <w:sectPr w:rsidR="00865513" w:rsidRPr="00832467" w:rsidSect="00EF0C41">
      <w:pgSz w:w="12240" w:h="15840"/>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791" w:rsidRDefault="00FC0791">
      <w:r>
        <w:separator/>
      </w:r>
    </w:p>
  </w:endnote>
  <w:endnote w:type="continuationSeparator" w:id="1">
    <w:p w:rsidR="00FC0791" w:rsidRDefault="00FC07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791" w:rsidRDefault="00FC0791">
      <w:r>
        <w:separator/>
      </w:r>
    </w:p>
  </w:footnote>
  <w:footnote w:type="continuationSeparator" w:id="1">
    <w:p w:rsidR="00FC0791" w:rsidRDefault="00FC0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11AF2"/>
    <w:rsid w:val="0000730C"/>
    <w:rsid w:val="00011AF2"/>
    <w:rsid w:val="0001551E"/>
    <w:rsid w:val="00022857"/>
    <w:rsid w:val="0002647D"/>
    <w:rsid w:val="00027F23"/>
    <w:rsid w:val="00030EE0"/>
    <w:rsid w:val="000373DA"/>
    <w:rsid w:val="0004079C"/>
    <w:rsid w:val="00040DE8"/>
    <w:rsid w:val="00050C2B"/>
    <w:rsid w:val="00054106"/>
    <w:rsid w:val="00066F9A"/>
    <w:rsid w:val="00075E45"/>
    <w:rsid w:val="00084B6E"/>
    <w:rsid w:val="0008696C"/>
    <w:rsid w:val="0009394D"/>
    <w:rsid w:val="00093D1C"/>
    <w:rsid w:val="00096761"/>
    <w:rsid w:val="000B0266"/>
    <w:rsid w:val="000C055F"/>
    <w:rsid w:val="000C0C77"/>
    <w:rsid w:val="000C2F4B"/>
    <w:rsid w:val="000D4B71"/>
    <w:rsid w:val="000F16D7"/>
    <w:rsid w:val="000F3C26"/>
    <w:rsid w:val="000F4510"/>
    <w:rsid w:val="00100060"/>
    <w:rsid w:val="001100CD"/>
    <w:rsid w:val="001316AD"/>
    <w:rsid w:val="001334E3"/>
    <w:rsid w:val="00135FBD"/>
    <w:rsid w:val="0015761A"/>
    <w:rsid w:val="0016590C"/>
    <w:rsid w:val="00165A8F"/>
    <w:rsid w:val="001702FD"/>
    <w:rsid w:val="001773AC"/>
    <w:rsid w:val="00177E2C"/>
    <w:rsid w:val="00183174"/>
    <w:rsid w:val="00183E0C"/>
    <w:rsid w:val="00187932"/>
    <w:rsid w:val="00192D3D"/>
    <w:rsid w:val="001977EE"/>
    <w:rsid w:val="001B38D6"/>
    <w:rsid w:val="001B4B5B"/>
    <w:rsid w:val="001E011B"/>
    <w:rsid w:val="001E27C3"/>
    <w:rsid w:val="00200A5C"/>
    <w:rsid w:val="00206EEC"/>
    <w:rsid w:val="00211428"/>
    <w:rsid w:val="00212442"/>
    <w:rsid w:val="002320E0"/>
    <w:rsid w:val="00234E14"/>
    <w:rsid w:val="00235922"/>
    <w:rsid w:val="00245615"/>
    <w:rsid w:val="002457EF"/>
    <w:rsid w:val="00246D54"/>
    <w:rsid w:val="00256356"/>
    <w:rsid w:val="002634EA"/>
    <w:rsid w:val="00274AFF"/>
    <w:rsid w:val="00293D24"/>
    <w:rsid w:val="002B437C"/>
    <w:rsid w:val="002C3C50"/>
    <w:rsid w:val="002D6F4A"/>
    <w:rsid w:val="002E247C"/>
    <w:rsid w:val="002F6CEB"/>
    <w:rsid w:val="00300CA8"/>
    <w:rsid w:val="00324670"/>
    <w:rsid w:val="00327DF4"/>
    <w:rsid w:val="003426A9"/>
    <w:rsid w:val="00344826"/>
    <w:rsid w:val="003625ED"/>
    <w:rsid w:val="00367427"/>
    <w:rsid w:val="00371543"/>
    <w:rsid w:val="003766FE"/>
    <w:rsid w:val="003767B5"/>
    <w:rsid w:val="003826CF"/>
    <w:rsid w:val="0039361A"/>
    <w:rsid w:val="003C09D7"/>
    <w:rsid w:val="003C43D8"/>
    <w:rsid w:val="003E1B63"/>
    <w:rsid w:val="003E695D"/>
    <w:rsid w:val="003F1479"/>
    <w:rsid w:val="003F31F2"/>
    <w:rsid w:val="004058FB"/>
    <w:rsid w:val="00411090"/>
    <w:rsid w:val="0041579C"/>
    <w:rsid w:val="004308A0"/>
    <w:rsid w:val="00436E06"/>
    <w:rsid w:val="00442529"/>
    <w:rsid w:val="004575AC"/>
    <w:rsid w:val="004660A9"/>
    <w:rsid w:val="004661AC"/>
    <w:rsid w:val="004775E2"/>
    <w:rsid w:val="00481882"/>
    <w:rsid w:val="00483054"/>
    <w:rsid w:val="00485925"/>
    <w:rsid w:val="0048633F"/>
    <w:rsid w:val="004961BD"/>
    <w:rsid w:val="004A49D1"/>
    <w:rsid w:val="004B05C4"/>
    <w:rsid w:val="004B15BA"/>
    <w:rsid w:val="004B3D55"/>
    <w:rsid w:val="004B6308"/>
    <w:rsid w:val="004B7DE9"/>
    <w:rsid w:val="004D1FF2"/>
    <w:rsid w:val="004D443F"/>
    <w:rsid w:val="004D6580"/>
    <w:rsid w:val="004E5994"/>
    <w:rsid w:val="004F7458"/>
    <w:rsid w:val="005002BA"/>
    <w:rsid w:val="005051B6"/>
    <w:rsid w:val="00505530"/>
    <w:rsid w:val="0051190A"/>
    <w:rsid w:val="005162AC"/>
    <w:rsid w:val="0052183E"/>
    <w:rsid w:val="00526FFC"/>
    <w:rsid w:val="00531238"/>
    <w:rsid w:val="00537E17"/>
    <w:rsid w:val="00545C7F"/>
    <w:rsid w:val="00593F44"/>
    <w:rsid w:val="005A1D08"/>
    <w:rsid w:val="005B0835"/>
    <w:rsid w:val="005B09C2"/>
    <w:rsid w:val="005B4B58"/>
    <w:rsid w:val="005C6066"/>
    <w:rsid w:val="005D16C8"/>
    <w:rsid w:val="005E1DDD"/>
    <w:rsid w:val="005E3637"/>
    <w:rsid w:val="005E7125"/>
    <w:rsid w:val="005F0C62"/>
    <w:rsid w:val="00604A90"/>
    <w:rsid w:val="00613E18"/>
    <w:rsid w:val="00615F3D"/>
    <w:rsid w:val="00620E29"/>
    <w:rsid w:val="006255AD"/>
    <w:rsid w:val="00632AD3"/>
    <w:rsid w:val="00633D37"/>
    <w:rsid w:val="0064742F"/>
    <w:rsid w:val="00647973"/>
    <w:rsid w:val="00656E33"/>
    <w:rsid w:val="00660833"/>
    <w:rsid w:val="006818C7"/>
    <w:rsid w:val="00696127"/>
    <w:rsid w:val="006B4866"/>
    <w:rsid w:val="006B779F"/>
    <w:rsid w:val="006C6BD1"/>
    <w:rsid w:val="006C7126"/>
    <w:rsid w:val="006D0E49"/>
    <w:rsid w:val="006D44B1"/>
    <w:rsid w:val="006E2980"/>
    <w:rsid w:val="006E3510"/>
    <w:rsid w:val="006F11D8"/>
    <w:rsid w:val="006F7CEF"/>
    <w:rsid w:val="00700814"/>
    <w:rsid w:val="00702C44"/>
    <w:rsid w:val="007048CE"/>
    <w:rsid w:val="00707C4B"/>
    <w:rsid w:val="00727B80"/>
    <w:rsid w:val="00746082"/>
    <w:rsid w:val="00774747"/>
    <w:rsid w:val="00777BB6"/>
    <w:rsid w:val="00777FFC"/>
    <w:rsid w:val="007A21A3"/>
    <w:rsid w:val="007A3A18"/>
    <w:rsid w:val="007A5C5B"/>
    <w:rsid w:val="007A7A86"/>
    <w:rsid w:val="007B2C57"/>
    <w:rsid w:val="007B53A2"/>
    <w:rsid w:val="007C2C0E"/>
    <w:rsid w:val="007C487A"/>
    <w:rsid w:val="007E4923"/>
    <w:rsid w:val="007F089B"/>
    <w:rsid w:val="007F236D"/>
    <w:rsid w:val="007F3008"/>
    <w:rsid w:val="007F4E8C"/>
    <w:rsid w:val="008131C4"/>
    <w:rsid w:val="008178E0"/>
    <w:rsid w:val="00821148"/>
    <w:rsid w:val="00824655"/>
    <w:rsid w:val="008311F2"/>
    <w:rsid w:val="00832467"/>
    <w:rsid w:val="008337C1"/>
    <w:rsid w:val="0084210D"/>
    <w:rsid w:val="00843746"/>
    <w:rsid w:val="008522C4"/>
    <w:rsid w:val="00855DD4"/>
    <w:rsid w:val="0086035B"/>
    <w:rsid w:val="0086154B"/>
    <w:rsid w:val="00862E99"/>
    <w:rsid w:val="00865513"/>
    <w:rsid w:val="00884B53"/>
    <w:rsid w:val="00884F92"/>
    <w:rsid w:val="00887838"/>
    <w:rsid w:val="008917A7"/>
    <w:rsid w:val="00893BE7"/>
    <w:rsid w:val="00895722"/>
    <w:rsid w:val="00896A7C"/>
    <w:rsid w:val="008A6661"/>
    <w:rsid w:val="008B2222"/>
    <w:rsid w:val="008B6F03"/>
    <w:rsid w:val="008C0DC9"/>
    <w:rsid w:val="008D49C4"/>
    <w:rsid w:val="008F0A77"/>
    <w:rsid w:val="008F3232"/>
    <w:rsid w:val="008F5092"/>
    <w:rsid w:val="008F6513"/>
    <w:rsid w:val="008F741D"/>
    <w:rsid w:val="008F7D50"/>
    <w:rsid w:val="00905D3E"/>
    <w:rsid w:val="0092045A"/>
    <w:rsid w:val="00921F4C"/>
    <w:rsid w:val="00923EA2"/>
    <w:rsid w:val="00927AF0"/>
    <w:rsid w:val="0094033F"/>
    <w:rsid w:val="00957D7A"/>
    <w:rsid w:val="00964BA8"/>
    <w:rsid w:val="009652A8"/>
    <w:rsid w:val="009668DA"/>
    <w:rsid w:val="00970F30"/>
    <w:rsid w:val="00971904"/>
    <w:rsid w:val="009768AC"/>
    <w:rsid w:val="0098379A"/>
    <w:rsid w:val="00983A8A"/>
    <w:rsid w:val="009A3804"/>
    <w:rsid w:val="009C10DF"/>
    <w:rsid w:val="009C3A53"/>
    <w:rsid w:val="009C4BB5"/>
    <w:rsid w:val="009C5413"/>
    <w:rsid w:val="009C719B"/>
    <w:rsid w:val="009D306F"/>
    <w:rsid w:val="009E1BB5"/>
    <w:rsid w:val="009E7765"/>
    <w:rsid w:val="009F395E"/>
    <w:rsid w:val="00A017F6"/>
    <w:rsid w:val="00A049A2"/>
    <w:rsid w:val="00A12E2F"/>
    <w:rsid w:val="00A13617"/>
    <w:rsid w:val="00A16B68"/>
    <w:rsid w:val="00A21E3F"/>
    <w:rsid w:val="00A25ADE"/>
    <w:rsid w:val="00A414F3"/>
    <w:rsid w:val="00A643D2"/>
    <w:rsid w:val="00A67896"/>
    <w:rsid w:val="00A93949"/>
    <w:rsid w:val="00A95C36"/>
    <w:rsid w:val="00AA373C"/>
    <w:rsid w:val="00AA577D"/>
    <w:rsid w:val="00AB2D5E"/>
    <w:rsid w:val="00AB5A33"/>
    <w:rsid w:val="00AB77B4"/>
    <w:rsid w:val="00AC5801"/>
    <w:rsid w:val="00AE3CEB"/>
    <w:rsid w:val="00AE48A0"/>
    <w:rsid w:val="00AF3ABF"/>
    <w:rsid w:val="00AF5901"/>
    <w:rsid w:val="00AF7E31"/>
    <w:rsid w:val="00B03371"/>
    <w:rsid w:val="00B03F73"/>
    <w:rsid w:val="00B040BF"/>
    <w:rsid w:val="00B04378"/>
    <w:rsid w:val="00B27E87"/>
    <w:rsid w:val="00B3567F"/>
    <w:rsid w:val="00B361AF"/>
    <w:rsid w:val="00B379EF"/>
    <w:rsid w:val="00B40D82"/>
    <w:rsid w:val="00B420EC"/>
    <w:rsid w:val="00B61D94"/>
    <w:rsid w:val="00B632DF"/>
    <w:rsid w:val="00B64482"/>
    <w:rsid w:val="00B815AD"/>
    <w:rsid w:val="00B84C83"/>
    <w:rsid w:val="00B87E44"/>
    <w:rsid w:val="00B906C2"/>
    <w:rsid w:val="00BB43FA"/>
    <w:rsid w:val="00BB4DF5"/>
    <w:rsid w:val="00BC4956"/>
    <w:rsid w:val="00BD30F2"/>
    <w:rsid w:val="00BD58F2"/>
    <w:rsid w:val="00BE6760"/>
    <w:rsid w:val="00BF16F4"/>
    <w:rsid w:val="00C035AD"/>
    <w:rsid w:val="00C04947"/>
    <w:rsid w:val="00C176C8"/>
    <w:rsid w:val="00C24C2E"/>
    <w:rsid w:val="00C31835"/>
    <w:rsid w:val="00C4053D"/>
    <w:rsid w:val="00C6086D"/>
    <w:rsid w:val="00C66241"/>
    <w:rsid w:val="00C72D65"/>
    <w:rsid w:val="00C72DB5"/>
    <w:rsid w:val="00C76E54"/>
    <w:rsid w:val="00C81FCF"/>
    <w:rsid w:val="00C8794C"/>
    <w:rsid w:val="00CA0399"/>
    <w:rsid w:val="00CA1FA5"/>
    <w:rsid w:val="00CB095D"/>
    <w:rsid w:val="00CC1C17"/>
    <w:rsid w:val="00CF0B60"/>
    <w:rsid w:val="00D0459F"/>
    <w:rsid w:val="00D0527B"/>
    <w:rsid w:val="00D07AF6"/>
    <w:rsid w:val="00D25EC4"/>
    <w:rsid w:val="00D314E5"/>
    <w:rsid w:val="00D33B31"/>
    <w:rsid w:val="00D35928"/>
    <w:rsid w:val="00D37302"/>
    <w:rsid w:val="00D42DD3"/>
    <w:rsid w:val="00D43C3E"/>
    <w:rsid w:val="00D5370E"/>
    <w:rsid w:val="00D5701D"/>
    <w:rsid w:val="00D725F9"/>
    <w:rsid w:val="00D74E06"/>
    <w:rsid w:val="00D770A3"/>
    <w:rsid w:val="00D82533"/>
    <w:rsid w:val="00D92F6D"/>
    <w:rsid w:val="00D96C2F"/>
    <w:rsid w:val="00DC485D"/>
    <w:rsid w:val="00DE3079"/>
    <w:rsid w:val="00DF5341"/>
    <w:rsid w:val="00DF5525"/>
    <w:rsid w:val="00DF72D1"/>
    <w:rsid w:val="00E03D6B"/>
    <w:rsid w:val="00E112D2"/>
    <w:rsid w:val="00E20ED4"/>
    <w:rsid w:val="00E2253A"/>
    <w:rsid w:val="00E357EF"/>
    <w:rsid w:val="00E35AAA"/>
    <w:rsid w:val="00E470C0"/>
    <w:rsid w:val="00E5506C"/>
    <w:rsid w:val="00E62E77"/>
    <w:rsid w:val="00E67058"/>
    <w:rsid w:val="00E818E9"/>
    <w:rsid w:val="00EA3D55"/>
    <w:rsid w:val="00EB0995"/>
    <w:rsid w:val="00EC1461"/>
    <w:rsid w:val="00EC1601"/>
    <w:rsid w:val="00EC696A"/>
    <w:rsid w:val="00ED2F1C"/>
    <w:rsid w:val="00ED4C3A"/>
    <w:rsid w:val="00EF0C41"/>
    <w:rsid w:val="00EF3680"/>
    <w:rsid w:val="00F11B15"/>
    <w:rsid w:val="00F123AE"/>
    <w:rsid w:val="00F17BC2"/>
    <w:rsid w:val="00F237CF"/>
    <w:rsid w:val="00F3094B"/>
    <w:rsid w:val="00F30CA4"/>
    <w:rsid w:val="00F35D93"/>
    <w:rsid w:val="00F41DB3"/>
    <w:rsid w:val="00F43318"/>
    <w:rsid w:val="00F5221C"/>
    <w:rsid w:val="00F85296"/>
    <w:rsid w:val="00F86155"/>
    <w:rsid w:val="00F87E42"/>
    <w:rsid w:val="00F87EED"/>
    <w:rsid w:val="00F964F3"/>
    <w:rsid w:val="00F97523"/>
    <w:rsid w:val="00FA31F8"/>
    <w:rsid w:val="00FA4173"/>
    <w:rsid w:val="00FB199A"/>
    <w:rsid w:val="00FC052E"/>
    <w:rsid w:val="00FC0791"/>
    <w:rsid w:val="00FE6745"/>
    <w:rsid w:val="00FF5DFE"/>
    <w:rsid w:val="00FF7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70081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70081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42769383">
      <w:bodyDiv w:val="1"/>
      <w:marLeft w:val="0"/>
      <w:marRight w:val="0"/>
      <w:marTop w:val="0"/>
      <w:marBottom w:val="0"/>
      <w:divBdr>
        <w:top w:val="none" w:sz="0" w:space="0" w:color="auto"/>
        <w:left w:val="none" w:sz="0" w:space="0" w:color="auto"/>
        <w:bottom w:val="none" w:sz="0" w:space="0" w:color="auto"/>
        <w:right w:val="none" w:sz="0" w:space="0" w:color="auto"/>
      </w:divBdr>
    </w:div>
    <w:div w:id="717314542">
      <w:bodyDiv w:val="1"/>
      <w:marLeft w:val="0"/>
      <w:marRight w:val="0"/>
      <w:marTop w:val="0"/>
      <w:marBottom w:val="0"/>
      <w:divBdr>
        <w:top w:val="none" w:sz="0" w:space="0" w:color="auto"/>
        <w:left w:val="none" w:sz="0" w:space="0" w:color="auto"/>
        <w:bottom w:val="none" w:sz="0" w:space="0" w:color="auto"/>
        <w:right w:val="none" w:sz="0" w:space="0" w:color="auto"/>
      </w:divBdr>
    </w:div>
    <w:div w:id="950403749">
      <w:bodyDiv w:val="1"/>
      <w:marLeft w:val="0"/>
      <w:marRight w:val="0"/>
      <w:marTop w:val="0"/>
      <w:marBottom w:val="0"/>
      <w:divBdr>
        <w:top w:val="none" w:sz="0" w:space="0" w:color="auto"/>
        <w:left w:val="none" w:sz="0" w:space="0" w:color="auto"/>
        <w:bottom w:val="none" w:sz="0" w:space="0" w:color="auto"/>
        <w:right w:val="none" w:sz="0" w:space="0" w:color="auto"/>
      </w:divBdr>
    </w:div>
    <w:div w:id="1175998068">
      <w:bodyDiv w:val="1"/>
      <w:marLeft w:val="0"/>
      <w:marRight w:val="0"/>
      <w:marTop w:val="0"/>
      <w:marBottom w:val="0"/>
      <w:divBdr>
        <w:top w:val="none" w:sz="0" w:space="0" w:color="auto"/>
        <w:left w:val="none" w:sz="0" w:space="0" w:color="auto"/>
        <w:bottom w:val="none" w:sz="0" w:space="0" w:color="auto"/>
        <w:right w:val="none" w:sz="0" w:space="0" w:color="auto"/>
      </w:divBdr>
      <w:divsChild>
        <w:div w:id="791628710">
          <w:marLeft w:val="0"/>
          <w:marRight w:val="0"/>
          <w:marTop w:val="0"/>
          <w:marBottom w:val="0"/>
          <w:divBdr>
            <w:top w:val="none" w:sz="0" w:space="0" w:color="auto"/>
            <w:left w:val="none" w:sz="0" w:space="0" w:color="auto"/>
            <w:bottom w:val="none" w:sz="0" w:space="0" w:color="auto"/>
            <w:right w:val="none" w:sz="0" w:space="0" w:color="auto"/>
          </w:divBdr>
          <w:divsChild>
            <w:div w:id="1517842471">
              <w:marLeft w:val="0"/>
              <w:marRight w:val="0"/>
              <w:marTop w:val="0"/>
              <w:marBottom w:val="0"/>
              <w:divBdr>
                <w:top w:val="none" w:sz="0" w:space="0" w:color="auto"/>
                <w:left w:val="none" w:sz="0" w:space="0" w:color="auto"/>
                <w:bottom w:val="none" w:sz="0" w:space="0" w:color="auto"/>
                <w:right w:val="none" w:sz="0" w:space="0" w:color="auto"/>
              </w:divBdr>
              <w:divsChild>
                <w:div w:id="1975522124">
                  <w:marLeft w:val="0"/>
                  <w:marRight w:val="0"/>
                  <w:marTop w:val="0"/>
                  <w:marBottom w:val="0"/>
                  <w:divBdr>
                    <w:top w:val="none" w:sz="0" w:space="0" w:color="auto"/>
                    <w:left w:val="none" w:sz="0" w:space="0" w:color="auto"/>
                    <w:bottom w:val="none" w:sz="0" w:space="0" w:color="auto"/>
                    <w:right w:val="none" w:sz="0" w:space="0" w:color="auto"/>
                  </w:divBdr>
                  <w:divsChild>
                    <w:div w:id="1679577720">
                      <w:marLeft w:val="0"/>
                      <w:marRight w:val="0"/>
                      <w:marTop w:val="180"/>
                      <w:marBottom w:val="120"/>
                      <w:divBdr>
                        <w:top w:val="none" w:sz="0" w:space="0" w:color="auto"/>
                        <w:left w:val="none" w:sz="0" w:space="0" w:color="auto"/>
                        <w:bottom w:val="none" w:sz="0" w:space="0" w:color="auto"/>
                        <w:right w:val="none" w:sz="0" w:space="0" w:color="auto"/>
                      </w:divBdr>
                      <w:divsChild>
                        <w:div w:id="592594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7388">
      <w:bodyDiv w:val="1"/>
      <w:marLeft w:val="0"/>
      <w:marRight w:val="0"/>
      <w:marTop w:val="0"/>
      <w:marBottom w:val="0"/>
      <w:divBdr>
        <w:top w:val="none" w:sz="0" w:space="0" w:color="auto"/>
        <w:left w:val="none" w:sz="0" w:space="0" w:color="auto"/>
        <w:bottom w:val="none" w:sz="0" w:space="0" w:color="auto"/>
        <w:right w:val="none" w:sz="0" w:space="0" w:color="auto"/>
      </w:divBdr>
      <w:divsChild>
        <w:div w:id="1137067709">
          <w:marLeft w:val="0"/>
          <w:marRight w:val="0"/>
          <w:marTop w:val="0"/>
          <w:marBottom w:val="0"/>
          <w:divBdr>
            <w:top w:val="none" w:sz="0" w:space="0" w:color="auto"/>
            <w:left w:val="none" w:sz="0" w:space="0" w:color="auto"/>
            <w:bottom w:val="none" w:sz="0" w:space="0" w:color="auto"/>
            <w:right w:val="none" w:sz="0" w:space="0" w:color="auto"/>
          </w:divBdr>
          <w:divsChild>
            <w:div w:id="1909998825">
              <w:marLeft w:val="0"/>
              <w:marRight w:val="0"/>
              <w:marTop w:val="0"/>
              <w:marBottom w:val="0"/>
              <w:divBdr>
                <w:top w:val="none" w:sz="0" w:space="0" w:color="auto"/>
                <w:left w:val="none" w:sz="0" w:space="0" w:color="auto"/>
                <w:bottom w:val="none" w:sz="0" w:space="0" w:color="auto"/>
                <w:right w:val="none" w:sz="0" w:space="0" w:color="auto"/>
              </w:divBdr>
              <w:divsChild>
                <w:div w:id="1460031560">
                  <w:marLeft w:val="0"/>
                  <w:marRight w:val="0"/>
                  <w:marTop w:val="0"/>
                  <w:marBottom w:val="0"/>
                  <w:divBdr>
                    <w:top w:val="none" w:sz="0" w:space="0" w:color="auto"/>
                    <w:left w:val="none" w:sz="0" w:space="0" w:color="auto"/>
                    <w:bottom w:val="none" w:sz="0" w:space="0" w:color="auto"/>
                    <w:right w:val="none" w:sz="0" w:space="0" w:color="auto"/>
                  </w:divBdr>
                  <w:divsChild>
                    <w:div w:id="1724988816">
                      <w:marLeft w:val="0"/>
                      <w:marRight w:val="0"/>
                      <w:marTop w:val="180"/>
                      <w:marBottom w:val="120"/>
                      <w:divBdr>
                        <w:top w:val="none" w:sz="0" w:space="0" w:color="auto"/>
                        <w:left w:val="none" w:sz="0" w:space="0" w:color="auto"/>
                        <w:bottom w:val="none" w:sz="0" w:space="0" w:color="auto"/>
                        <w:right w:val="none" w:sz="0" w:space="0" w:color="auto"/>
                      </w:divBdr>
                      <w:divsChild>
                        <w:div w:id="13223918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3262">
      <w:bodyDiv w:val="1"/>
      <w:marLeft w:val="0"/>
      <w:marRight w:val="0"/>
      <w:marTop w:val="0"/>
      <w:marBottom w:val="0"/>
      <w:divBdr>
        <w:top w:val="none" w:sz="0" w:space="0" w:color="auto"/>
        <w:left w:val="none" w:sz="0" w:space="0" w:color="auto"/>
        <w:bottom w:val="none" w:sz="0" w:space="0" w:color="auto"/>
        <w:right w:val="none" w:sz="0" w:space="0" w:color="auto"/>
      </w:divBdr>
      <w:divsChild>
        <w:div w:id="919412390">
          <w:marLeft w:val="0"/>
          <w:marRight w:val="0"/>
          <w:marTop w:val="0"/>
          <w:marBottom w:val="0"/>
          <w:divBdr>
            <w:top w:val="none" w:sz="0" w:space="0" w:color="auto"/>
            <w:left w:val="none" w:sz="0" w:space="0" w:color="auto"/>
            <w:bottom w:val="none" w:sz="0" w:space="0" w:color="auto"/>
            <w:right w:val="none" w:sz="0" w:space="0" w:color="auto"/>
          </w:divBdr>
          <w:divsChild>
            <w:div w:id="1339306749">
              <w:marLeft w:val="0"/>
              <w:marRight w:val="0"/>
              <w:marTop w:val="0"/>
              <w:marBottom w:val="0"/>
              <w:divBdr>
                <w:top w:val="none" w:sz="0" w:space="0" w:color="auto"/>
                <w:left w:val="none" w:sz="0" w:space="0" w:color="auto"/>
                <w:bottom w:val="none" w:sz="0" w:space="0" w:color="auto"/>
                <w:right w:val="none" w:sz="0" w:space="0" w:color="auto"/>
              </w:divBdr>
              <w:divsChild>
                <w:div w:id="589042091">
                  <w:marLeft w:val="0"/>
                  <w:marRight w:val="0"/>
                  <w:marTop w:val="0"/>
                  <w:marBottom w:val="0"/>
                  <w:divBdr>
                    <w:top w:val="none" w:sz="0" w:space="0" w:color="auto"/>
                    <w:left w:val="none" w:sz="0" w:space="0" w:color="auto"/>
                    <w:bottom w:val="none" w:sz="0" w:space="0" w:color="auto"/>
                    <w:right w:val="none" w:sz="0" w:space="0" w:color="auto"/>
                  </w:divBdr>
                  <w:divsChild>
                    <w:div w:id="1785882102">
                      <w:marLeft w:val="0"/>
                      <w:marRight w:val="0"/>
                      <w:marTop w:val="0"/>
                      <w:marBottom w:val="0"/>
                      <w:divBdr>
                        <w:top w:val="none" w:sz="0" w:space="0" w:color="auto"/>
                        <w:left w:val="none" w:sz="0" w:space="0" w:color="auto"/>
                        <w:bottom w:val="none" w:sz="0" w:space="0" w:color="auto"/>
                        <w:right w:val="none" w:sz="0" w:space="0" w:color="auto"/>
                      </w:divBdr>
                      <w:divsChild>
                        <w:div w:id="604922956">
                          <w:marLeft w:val="0"/>
                          <w:marRight w:val="0"/>
                          <w:marTop w:val="0"/>
                          <w:marBottom w:val="0"/>
                          <w:divBdr>
                            <w:top w:val="none" w:sz="0" w:space="0" w:color="auto"/>
                            <w:left w:val="none" w:sz="0" w:space="0" w:color="auto"/>
                            <w:bottom w:val="none" w:sz="0" w:space="0" w:color="auto"/>
                            <w:right w:val="none" w:sz="0" w:space="0" w:color="auto"/>
                          </w:divBdr>
                          <w:divsChild>
                            <w:div w:id="1277103636">
                              <w:marLeft w:val="2700"/>
                              <w:marRight w:val="-11700"/>
                              <w:marTop w:val="0"/>
                              <w:marBottom w:val="0"/>
                              <w:divBdr>
                                <w:top w:val="none" w:sz="0" w:space="0" w:color="auto"/>
                                <w:left w:val="none" w:sz="0" w:space="0" w:color="auto"/>
                                <w:bottom w:val="none" w:sz="0" w:space="0" w:color="auto"/>
                                <w:right w:val="none" w:sz="0" w:space="0" w:color="auto"/>
                              </w:divBdr>
                              <w:divsChild>
                                <w:div w:id="1502507104">
                                  <w:marLeft w:val="0"/>
                                  <w:marRight w:val="0"/>
                                  <w:marTop w:val="225"/>
                                  <w:marBottom w:val="0"/>
                                  <w:divBdr>
                                    <w:top w:val="none" w:sz="0" w:space="0" w:color="auto"/>
                                    <w:left w:val="none" w:sz="0" w:space="0" w:color="auto"/>
                                    <w:bottom w:val="none" w:sz="0" w:space="0" w:color="auto"/>
                                    <w:right w:val="none" w:sz="0" w:space="0" w:color="auto"/>
                                  </w:divBdr>
                                  <w:divsChild>
                                    <w:div w:id="959997691">
                                      <w:marLeft w:val="0"/>
                                      <w:marRight w:val="0"/>
                                      <w:marTop w:val="0"/>
                                      <w:marBottom w:val="150"/>
                                      <w:divBdr>
                                        <w:top w:val="single" w:sz="6" w:space="8" w:color="626262"/>
                                        <w:left w:val="single" w:sz="6" w:space="8" w:color="626262"/>
                                        <w:bottom w:val="single" w:sz="6" w:space="8" w:color="626262"/>
                                        <w:right w:val="single" w:sz="6" w:space="8" w:color="626262"/>
                                      </w:divBdr>
                                      <w:divsChild>
                                        <w:div w:id="55394210">
                                          <w:marLeft w:val="0"/>
                                          <w:marRight w:val="0"/>
                                          <w:marTop w:val="0"/>
                                          <w:marBottom w:val="0"/>
                                          <w:divBdr>
                                            <w:top w:val="none" w:sz="0" w:space="0" w:color="auto"/>
                                            <w:left w:val="none" w:sz="0" w:space="0" w:color="auto"/>
                                            <w:bottom w:val="none" w:sz="0" w:space="0" w:color="auto"/>
                                            <w:right w:val="none" w:sz="0" w:space="0" w:color="auto"/>
                                          </w:divBdr>
                                          <w:divsChild>
                                            <w:div w:id="1150516123">
                                              <w:marLeft w:val="0"/>
                                              <w:marRight w:val="0"/>
                                              <w:marTop w:val="0"/>
                                              <w:marBottom w:val="0"/>
                                              <w:divBdr>
                                                <w:top w:val="none" w:sz="0" w:space="0" w:color="auto"/>
                                                <w:left w:val="none" w:sz="0" w:space="0" w:color="auto"/>
                                                <w:bottom w:val="none" w:sz="0" w:space="0" w:color="auto"/>
                                                <w:right w:val="none" w:sz="0" w:space="0" w:color="auto"/>
                                              </w:divBdr>
                                              <w:divsChild>
                                                <w:div w:id="1605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56656">
      <w:bodyDiv w:val="1"/>
      <w:marLeft w:val="0"/>
      <w:marRight w:val="0"/>
      <w:marTop w:val="0"/>
      <w:marBottom w:val="0"/>
      <w:divBdr>
        <w:top w:val="none" w:sz="0" w:space="0" w:color="auto"/>
        <w:left w:val="none" w:sz="0" w:space="0" w:color="auto"/>
        <w:bottom w:val="none" w:sz="0" w:space="0" w:color="auto"/>
        <w:right w:val="none" w:sz="0" w:space="0" w:color="auto"/>
      </w:divBdr>
      <w:divsChild>
        <w:div w:id="1120151661">
          <w:marLeft w:val="0"/>
          <w:marRight w:val="0"/>
          <w:marTop w:val="0"/>
          <w:marBottom w:val="0"/>
          <w:divBdr>
            <w:top w:val="none" w:sz="0" w:space="0" w:color="auto"/>
            <w:left w:val="none" w:sz="0" w:space="0" w:color="auto"/>
            <w:bottom w:val="none" w:sz="0" w:space="0" w:color="auto"/>
            <w:right w:val="none" w:sz="0" w:space="0" w:color="auto"/>
          </w:divBdr>
          <w:divsChild>
            <w:div w:id="627735876">
              <w:marLeft w:val="0"/>
              <w:marRight w:val="0"/>
              <w:marTop w:val="0"/>
              <w:marBottom w:val="0"/>
              <w:divBdr>
                <w:top w:val="none" w:sz="0" w:space="0" w:color="auto"/>
                <w:left w:val="none" w:sz="0" w:space="0" w:color="auto"/>
                <w:bottom w:val="none" w:sz="0" w:space="0" w:color="auto"/>
                <w:right w:val="none" w:sz="0" w:space="0" w:color="auto"/>
              </w:divBdr>
              <w:divsChild>
                <w:div w:id="669648307">
                  <w:marLeft w:val="0"/>
                  <w:marRight w:val="0"/>
                  <w:marTop w:val="0"/>
                  <w:marBottom w:val="0"/>
                  <w:divBdr>
                    <w:top w:val="none" w:sz="0" w:space="0" w:color="auto"/>
                    <w:left w:val="none" w:sz="0" w:space="0" w:color="auto"/>
                    <w:bottom w:val="none" w:sz="0" w:space="0" w:color="auto"/>
                    <w:right w:val="none" w:sz="0" w:space="0" w:color="auto"/>
                  </w:divBdr>
                  <w:divsChild>
                    <w:div w:id="974213587">
                      <w:marLeft w:val="0"/>
                      <w:marRight w:val="0"/>
                      <w:marTop w:val="180"/>
                      <w:marBottom w:val="120"/>
                      <w:divBdr>
                        <w:top w:val="none" w:sz="0" w:space="0" w:color="auto"/>
                        <w:left w:val="none" w:sz="0" w:space="0" w:color="auto"/>
                        <w:bottom w:val="none" w:sz="0" w:space="0" w:color="auto"/>
                        <w:right w:val="none" w:sz="0" w:space="0" w:color="auto"/>
                      </w:divBdr>
                      <w:divsChild>
                        <w:div w:id="99348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sensors.com" TargetMode="External"/><Relationship Id="rId5" Type="http://schemas.openxmlformats.org/officeDocument/2006/relationships/webSettings" Target="webSetting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4AB5-BA9F-4295-B295-27661421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E-BioMatrix 12-Month Release</vt:lpstr>
    </vt:vector>
  </TitlesOfParts>
  <Company>Biosensors</Company>
  <LinksUpToDate>false</LinksUpToDate>
  <CharactersWithSpaces>4870</CharactersWithSpaces>
  <SharedDoc>false</SharedDoc>
  <HLinks>
    <vt:vector size="30" baseType="variant">
      <vt:variant>
        <vt:i4>4194349</vt:i4>
      </vt:variant>
      <vt:variant>
        <vt:i4>12</vt:i4>
      </vt:variant>
      <vt:variant>
        <vt:i4>0</vt:i4>
      </vt:variant>
      <vt:variant>
        <vt:i4>5</vt:i4>
      </vt:variant>
      <vt:variant>
        <vt:lpwstr>mailto:richard@rkpr.co.uk</vt:lpwstr>
      </vt:variant>
      <vt:variant>
        <vt:lpwstr/>
      </vt:variant>
      <vt:variant>
        <vt:i4>3342426</vt:i4>
      </vt:variant>
      <vt:variant>
        <vt:i4>9</vt:i4>
      </vt:variant>
      <vt:variant>
        <vt:i4>0</vt:i4>
      </vt:variant>
      <vt:variant>
        <vt:i4>5</vt:i4>
      </vt:variant>
      <vt:variant>
        <vt:lpwstr>mailto:s.meis@biosensors.com</vt:lpwstr>
      </vt:variant>
      <vt:variant>
        <vt:lpwstr/>
      </vt:variant>
      <vt:variant>
        <vt:i4>4390920</vt:i4>
      </vt:variant>
      <vt:variant>
        <vt:i4>6</vt:i4>
      </vt:variant>
      <vt:variant>
        <vt:i4>0</vt:i4>
      </vt:variant>
      <vt:variant>
        <vt:i4>5</vt:i4>
      </vt:variant>
      <vt:variant>
        <vt:lpwstr>http://www.biomatrix.com/</vt:lpwstr>
      </vt:variant>
      <vt:variant>
        <vt:lpwstr/>
      </vt:variant>
      <vt:variant>
        <vt:i4>4391027</vt:i4>
      </vt:variant>
      <vt:variant>
        <vt:i4>3</vt:i4>
      </vt:variant>
      <vt:variant>
        <vt:i4>0</vt:i4>
      </vt:variant>
      <vt:variant>
        <vt:i4>5</vt:i4>
      </vt:variant>
      <vt:variant>
        <vt:lpwstr>mailto:matt@allencaron.com</vt:lpwstr>
      </vt:variant>
      <vt:variant>
        <vt:lpwstr/>
      </vt:variant>
      <vt:variant>
        <vt:i4>6684683</vt:i4>
      </vt:variant>
      <vt:variant>
        <vt:i4>0</vt:i4>
      </vt:variant>
      <vt:variant>
        <vt:i4>0</vt:i4>
      </vt:variant>
      <vt:variant>
        <vt:i4>5</vt:i4>
      </vt:variant>
      <vt:variant>
        <vt:lpwstr>mailto:cm.loh@biosensors.com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E-BioMatrix 12-Month Release</dc:title>
  <dc:creator>Biosensors</dc:creator>
  <cp:lastModifiedBy>Lydia Kenyon</cp:lastModifiedBy>
  <cp:revision>2</cp:revision>
  <cp:lastPrinted>2011-05-16T00:17:00Z</cp:lastPrinted>
  <dcterms:created xsi:type="dcterms:W3CDTF">2011-06-06T09:37:00Z</dcterms:created>
  <dcterms:modified xsi:type="dcterms:W3CDTF">2011-06-06T09:37:00Z</dcterms:modified>
</cp:coreProperties>
</file>