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323" w:rsidRDefault="003B5323" w:rsidP="00AE572B">
      <w:pPr>
        <w:autoSpaceDE w:val="0"/>
        <w:autoSpaceDN w:val="0"/>
        <w:adjustRightInd w:val="0"/>
        <w:jc w:val="center"/>
        <w:rPr>
          <w:rFonts w:ascii="Calibri" w:hAnsi="Calibri" w:cs="Calibri"/>
          <w:b/>
          <w:bCs/>
          <w:color w:val="000000"/>
          <w:sz w:val="40"/>
          <w:szCs w:val="40"/>
        </w:rPr>
      </w:pPr>
      <w:r>
        <w:rPr>
          <w:rFonts w:ascii="Arial" w:hAnsi="Arial" w:cs="Arial"/>
          <w:noProof/>
        </w:rPr>
        <w:drawing>
          <wp:inline distT="0" distB="0" distL="0" distR="0">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AE572B" w:rsidRPr="003B5323" w:rsidRDefault="00AE572B" w:rsidP="00AE572B">
      <w:pPr>
        <w:autoSpaceDE w:val="0"/>
        <w:autoSpaceDN w:val="0"/>
        <w:adjustRightInd w:val="0"/>
        <w:jc w:val="center"/>
        <w:rPr>
          <w:rFonts w:ascii="Calibri" w:hAnsi="Calibri" w:cs="Calibri"/>
          <w:b/>
          <w:bCs/>
          <w:color w:val="000000"/>
          <w:sz w:val="44"/>
          <w:szCs w:val="44"/>
        </w:rPr>
      </w:pPr>
      <w:r w:rsidRPr="003B5323">
        <w:rPr>
          <w:rFonts w:ascii="Calibri" w:hAnsi="Calibri" w:cs="Calibri"/>
          <w:b/>
          <w:bCs/>
          <w:color w:val="000000"/>
          <w:sz w:val="44"/>
          <w:szCs w:val="44"/>
        </w:rPr>
        <w:t>NEWS RELEASE</w:t>
      </w:r>
    </w:p>
    <w:p w:rsidR="00AE572B" w:rsidRDefault="00AE572B" w:rsidP="00AE572B">
      <w:pPr>
        <w:autoSpaceDE w:val="0"/>
        <w:autoSpaceDN w:val="0"/>
        <w:adjustRightInd w:val="0"/>
        <w:rPr>
          <w:rFonts w:ascii="Calibri" w:hAnsi="Calibri" w:cs="Calibri"/>
          <w:b/>
          <w:bCs/>
          <w:color w:val="000000"/>
          <w:sz w:val="28"/>
          <w:szCs w:val="28"/>
        </w:rPr>
      </w:pPr>
    </w:p>
    <w:p w:rsidR="00AE572B" w:rsidRDefault="00625495" w:rsidP="00AE572B">
      <w:pPr>
        <w:autoSpaceDE w:val="0"/>
        <w:autoSpaceDN w:val="0"/>
        <w:adjustRightInd w:val="0"/>
        <w:jc w:val="center"/>
        <w:rPr>
          <w:rFonts w:ascii="Calibri" w:hAnsi="Calibri" w:cs="Arial"/>
          <w:b/>
          <w:bCs/>
          <w:sz w:val="32"/>
          <w:szCs w:val="32"/>
        </w:rPr>
      </w:pPr>
      <w:r>
        <w:rPr>
          <w:rFonts w:ascii="Calibri" w:hAnsi="Calibri" w:cs="Arial"/>
          <w:b/>
          <w:bCs/>
          <w:sz w:val="32"/>
          <w:szCs w:val="32"/>
        </w:rPr>
        <w:t xml:space="preserve">Plans </w:t>
      </w:r>
      <w:r w:rsidR="00AE572B">
        <w:rPr>
          <w:rFonts w:ascii="Calibri" w:hAnsi="Calibri" w:cs="Arial"/>
          <w:b/>
          <w:bCs/>
          <w:sz w:val="32"/>
          <w:szCs w:val="32"/>
        </w:rPr>
        <w:t>For</w:t>
      </w:r>
      <w:r w:rsidR="00E14214">
        <w:rPr>
          <w:rFonts w:ascii="Calibri" w:hAnsi="Calibri" w:cs="Arial"/>
          <w:b/>
          <w:bCs/>
          <w:sz w:val="32"/>
          <w:szCs w:val="32"/>
        </w:rPr>
        <w:t xml:space="preserve"> </w:t>
      </w:r>
      <w:r w:rsidR="00E23357">
        <w:rPr>
          <w:rFonts w:ascii="Calibri" w:hAnsi="Calibri" w:cs="Arial"/>
          <w:b/>
          <w:bCs/>
          <w:sz w:val="32"/>
          <w:szCs w:val="32"/>
        </w:rPr>
        <w:t>Largest Ever Drug-</w:t>
      </w:r>
      <w:r w:rsidR="00AE572B">
        <w:rPr>
          <w:rFonts w:ascii="Calibri" w:hAnsi="Calibri" w:cs="Arial"/>
          <w:b/>
          <w:bCs/>
          <w:sz w:val="32"/>
          <w:szCs w:val="32"/>
        </w:rPr>
        <w:t>Eluting Stent</w:t>
      </w:r>
    </w:p>
    <w:p w:rsidR="00AE572B" w:rsidRDefault="00AE572B" w:rsidP="00AE572B">
      <w:pPr>
        <w:autoSpaceDE w:val="0"/>
        <w:autoSpaceDN w:val="0"/>
        <w:adjustRightInd w:val="0"/>
        <w:jc w:val="center"/>
        <w:rPr>
          <w:rFonts w:ascii="Calibri" w:hAnsi="Calibri" w:cs="Arial"/>
          <w:b/>
          <w:bCs/>
          <w:sz w:val="32"/>
          <w:szCs w:val="32"/>
        </w:rPr>
      </w:pPr>
      <w:r>
        <w:rPr>
          <w:rFonts w:ascii="Calibri" w:hAnsi="Calibri" w:cs="Arial"/>
          <w:b/>
          <w:bCs/>
          <w:sz w:val="32"/>
          <w:szCs w:val="32"/>
        </w:rPr>
        <w:t>Randomized Clinical Trial</w:t>
      </w:r>
      <w:r w:rsidR="00CD6647">
        <w:rPr>
          <w:rFonts w:ascii="Calibri" w:hAnsi="Calibri" w:cs="Arial"/>
          <w:b/>
          <w:bCs/>
          <w:sz w:val="32"/>
          <w:szCs w:val="32"/>
        </w:rPr>
        <w:t xml:space="preserve"> Announced at EuroPCR</w:t>
      </w:r>
    </w:p>
    <w:p w:rsidR="00224A0E" w:rsidRPr="00B13ECE" w:rsidRDefault="00CD6647" w:rsidP="00B13ECE">
      <w:pPr>
        <w:pStyle w:val="NormalWeb"/>
        <w:jc w:val="both"/>
        <w:rPr>
          <w:rFonts w:asciiTheme="minorHAnsi" w:hAnsiTheme="minorHAnsi"/>
          <w:bCs/>
        </w:rPr>
      </w:pPr>
      <w:r>
        <w:rPr>
          <w:rFonts w:asciiTheme="minorHAnsi" w:hAnsiTheme="minorHAnsi"/>
          <w:b/>
          <w:bCs/>
        </w:rPr>
        <w:t>Paris, France, 18</w:t>
      </w:r>
      <w:r w:rsidR="00AE572B" w:rsidRPr="00B13ECE">
        <w:rPr>
          <w:rFonts w:asciiTheme="minorHAnsi" w:hAnsiTheme="minorHAnsi"/>
          <w:b/>
          <w:bCs/>
        </w:rPr>
        <w:t xml:space="preserve"> May 2011 – </w:t>
      </w:r>
      <w:r>
        <w:rPr>
          <w:rFonts w:asciiTheme="minorHAnsi" w:hAnsiTheme="minorHAnsi"/>
          <w:bCs/>
        </w:rPr>
        <w:t>P</w:t>
      </w:r>
      <w:r w:rsidR="00625495" w:rsidRPr="00B13ECE">
        <w:rPr>
          <w:rFonts w:asciiTheme="minorHAnsi" w:hAnsiTheme="minorHAnsi"/>
          <w:bCs/>
        </w:rPr>
        <w:t xml:space="preserve">lans </w:t>
      </w:r>
      <w:r w:rsidR="003E5218" w:rsidRPr="00B13ECE">
        <w:rPr>
          <w:rFonts w:asciiTheme="minorHAnsi" w:hAnsiTheme="minorHAnsi"/>
          <w:bCs/>
        </w:rPr>
        <w:t>for</w:t>
      </w:r>
      <w:r w:rsidR="00E14214">
        <w:rPr>
          <w:rFonts w:asciiTheme="minorHAnsi" w:hAnsiTheme="minorHAnsi"/>
          <w:bCs/>
        </w:rPr>
        <w:t xml:space="preserve"> </w:t>
      </w:r>
      <w:r w:rsidR="005B3020" w:rsidRPr="00B13ECE">
        <w:rPr>
          <w:rFonts w:asciiTheme="minorHAnsi" w:hAnsiTheme="minorHAnsi"/>
          <w:bCs/>
        </w:rPr>
        <w:t xml:space="preserve">Global LEADERS </w:t>
      </w:r>
      <w:r w:rsidR="005B3020">
        <w:rPr>
          <w:rFonts w:asciiTheme="minorHAnsi" w:hAnsiTheme="minorHAnsi"/>
          <w:bCs/>
        </w:rPr>
        <w:t xml:space="preserve">(“LEADERS II”), </w:t>
      </w:r>
      <w:r w:rsidR="00AE572B" w:rsidRPr="00B13ECE">
        <w:rPr>
          <w:rFonts w:asciiTheme="minorHAnsi" w:hAnsiTheme="minorHAnsi"/>
          <w:bCs/>
        </w:rPr>
        <w:t>the largest ever randomized clinical trial involving a head-to-head comparison between two drug-eluting stents (DES)</w:t>
      </w:r>
      <w:r w:rsidR="005B3020">
        <w:rPr>
          <w:rFonts w:asciiTheme="minorHAnsi" w:hAnsiTheme="minorHAnsi"/>
          <w:bCs/>
        </w:rPr>
        <w:t>,</w:t>
      </w:r>
      <w:r>
        <w:rPr>
          <w:rFonts w:asciiTheme="minorHAnsi" w:hAnsiTheme="minorHAnsi"/>
          <w:bCs/>
        </w:rPr>
        <w:t xml:space="preserve"> were announced yesterday during the opening session of EuroPCR by </w:t>
      </w:r>
      <w:r w:rsidR="000F5E12">
        <w:rPr>
          <w:rFonts w:asciiTheme="minorHAnsi" w:hAnsiTheme="minorHAnsi"/>
          <w:bCs/>
        </w:rPr>
        <w:t>Co-Principal</w:t>
      </w:r>
      <w:r w:rsidR="00224A0E" w:rsidRPr="00B13ECE">
        <w:rPr>
          <w:rFonts w:asciiTheme="minorHAnsi" w:hAnsiTheme="minorHAnsi"/>
          <w:bCs/>
        </w:rPr>
        <w:t xml:space="preserve"> Investigator Professor Patrick </w:t>
      </w:r>
      <w:r w:rsidR="00C133D0" w:rsidRPr="00B13ECE">
        <w:rPr>
          <w:rFonts w:asciiTheme="minorHAnsi" w:hAnsiTheme="minorHAnsi"/>
          <w:bCs/>
        </w:rPr>
        <w:t xml:space="preserve">W. </w:t>
      </w:r>
      <w:r>
        <w:rPr>
          <w:rFonts w:asciiTheme="minorHAnsi" w:hAnsiTheme="minorHAnsi"/>
          <w:bCs/>
        </w:rPr>
        <w:t>Serruys</w:t>
      </w:r>
      <w:r w:rsidR="00224A0E" w:rsidRPr="00B13ECE">
        <w:rPr>
          <w:rFonts w:asciiTheme="minorHAnsi" w:hAnsiTheme="minorHAnsi"/>
          <w:bCs/>
        </w:rPr>
        <w:t>.</w:t>
      </w:r>
    </w:p>
    <w:p w:rsidR="00AE572B" w:rsidRPr="00B13ECE" w:rsidRDefault="005B3020" w:rsidP="00B13ECE">
      <w:pPr>
        <w:pStyle w:val="NormalWeb"/>
        <w:jc w:val="both"/>
        <w:rPr>
          <w:rFonts w:asciiTheme="minorHAnsi" w:hAnsiTheme="minorHAnsi"/>
          <w:bCs/>
        </w:rPr>
      </w:pPr>
      <w:r>
        <w:rPr>
          <w:rFonts w:asciiTheme="minorHAnsi" w:hAnsiTheme="minorHAnsi"/>
          <w:bCs/>
        </w:rPr>
        <w:t xml:space="preserve">The trial </w:t>
      </w:r>
      <w:r w:rsidR="00AE572B" w:rsidRPr="00B13ECE">
        <w:rPr>
          <w:rFonts w:asciiTheme="minorHAnsi" w:hAnsiTheme="minorHAnsi"/>
          <w:bCs/>
        </w:rPr>
        <w:t>will enrol</w:t>
      </w:r>
      <w:r w:rsidR="0064771E" w:rsidRPr="00B13ECE">
        <w:rPr>
          <w:rFonts w:asciiTheme="minorHAnsi" w:hAnsiTheme="minorHAnsi"/>
          <w:bCs/>
        </w:rPr>
        <w:t>l</w:t>
      </w:r>
      <w:r w:rsidR="00AE572B" w:rsidRPr="00B13ECE">
        <w:rPr>
          <w:rFonts w:asciiTheme="minorHAnsi" w:hAnsiTheme="minorHAnsi"/>
          <w:bCs/>
        </w:rPr>
        <w:t xml:space="preserve"> mor</w:t>
      </w:r>
      <w:r w:rsidR="007A0D8D">
        <w:rPr>
          <w:rFonts w:asciiTheme="minorHAnsi" w:hAnsiTheme="minorHAnsi"/>
          <w:bCs/>
        </w:rPr>
        <w:t>e th</w:t>
      </w:r>
      <w:r w:rsidR="003B5323">
        <w:rPr>
          <w:rFonts w:asciiTheme="minorHAnsi" w:hAnsiTheme="minorHAnsi"/>
          <w:bCs/>
        </w:rPr>
        <w:t>an 10,000 patients from an “all-</w:t>
      </w:r>
      <w:r w:rsidR="007A0D8D">
        <w:rPr>
          <w:rFonts w:asciiTheme="minorHAnsi" w:hAnsiTheme="minorHAnsi"/>
          <w:bCs/>
        </w:rPr>
        <w:t>comers”</w:t>
      </w:r>
      <w:r w:rsidR="00AE572B" w:rsidRPr="00B13ECE">
        <w:rPr>
          <w:rFonts w:asciiTheme="minorHAnsi" w:hAnsiTheme="minorHAnsi"/>
          <w:bCs/>
        </w:rPr>
        <w:t xml:space="preserve"> population eligible for PCI, allocated to receive either </w:t>
      </w:r>
      <w:r w:rsidR="00AE572B" w:rsidRPr="00B13ECE">
        <w:rPr>
          <w:rFonts w:asciiTheme="minorHAnsi" w:hAnsiTheme="minorHAnsi" w:cs="Calibri"/>
        </w:rPr>
        <w:t xml:space="preserve">BioMatrix Flex™ (Biosensors’ Biolimus A9™-eluting stent system with abluminal biodegradable polymer), or the market-leadingDES system with a durable polymer. </w:t>
      </w:r>
      <w:r w:rsidR="00AE572B" w:rsidRPr="00B13ECE">
        <w:rPr>
          <w:rFonts w:asciiTheme="minorHAnsi" w:hAnsiTheme="minorHAnsi"/>
          <w:bCs/>
        </w:rPr>
        <w:t>Recruitment into the study,</w:t>
      </w:r>
      <w:r w:rsidR="00E14214">
        <w:rPr>
          <w:rFonts w:asciiTheme="minorHAnsi" w:hAnsiTheme="minorHAnsi"/>
          <w:bCs/>
        </w:rPr>
        <w:t xml:space="preserve"> </w:t>
      </w:r>
      <w:r w:rsidR="00AE572B" w:rsidRPr="00B13ECE">
        <w:rPr>
          <w:rFonts w:asciiTheme="minorHAnsi" w:hAnsiTheme="minorHAnsi"/>
          <w:bCs/>
        </w:rPr>
        <w:t>involving over 100 sites around the globe,</w:t>
      </w:r>
      <w:r w:rsidR="00E14214">
        <w:rPr>
          <w:rFonts w:asciiTheme="minorHAnsi" w:hAnsiTheme="minorHAnsi"/>
          <w:bCs/>
        </w:rPr>
        <w:t xml:space="preserve"> </w:t>
      </w:r>
      <w:r w:rsidR="00AE572B" w:rsidRPr="00B13ECE">
        <w:rPr>
          <w:rFonts w:asciiTheme="minorHAnsi" w:hAnsiTheme="minorHAnsi"/>
          <w:bCs/>
        </w:rPr>
        <w:t>is due to start in early 2012, with data being collected for up to two years following stent implantation.</w:t>
      </w:r>
    </w:p>
    <w:p w:rsidR="00E872CA" w:rsidRPr="005B3020" w:rsidRDefault="00AE572B" w:rsidP="00B13ECE">
      <w:pPr>
        <w:jc w:val="both"/>
        <w:rPr>
          <w:rFonts w:ascii="Calibri" w:hAnsi="Calibri" w:cs="Arial"/>
        </w:rPr>
      </w:pPr>
      <w:r w:rsidRPr="00B13ECE">
        <w:rPr>
          <w:rFonts w:asciiTheme="minorHAnsi" w:hAnsiTheme="minorHAnsi" w:cs="Calibri"/>
        </w:rPr>
        <w:t>The protocol of the study is currently under developme</w:t>
      </w:r>
      <w:r w:rsidR="007A0D8D">
        <w:rPr>
          <w:rFonts w:asciiTheme="minorHAnsi" w:hAnsiTheme="minorHAnsi" w:cs="Calibri"/>
        </w:rPr>
        <w:t>nt, and is likely to involve a “2x2 factorial”</w:t>
      </w:r>
      <w:r w:rsidRPr="00B13ECE">
        <w:rPr>
          <w:rFonts w:asciiTheme="minorHAnsi" w:hAnsiTheme="minorHAnsi" w:cs="Calibri"/>
        </w:rPr>
        <w:t xml:space="preserve"> design, with the second randomization being to either a short or long duration of anti-platelet therapy. The primary endpoint will be a true clinical evaluation, assessing patient safety.</w:t>
      </w:r>
      <w:r w:rsidR="00E14214">
        <w:rPr>
          <w:rFonts w:asciiTheme="minorHAnsi" w:hAnsiTheme="minorHAnsi" w:cs="Calibri"/>
        </w:rPr>
        <w:t xml:space="preserve"> </w:t>
      </w:r>
      <w:r w:rsidRPr="00B13ECE">
        <w:rPr>
          <w:rFonts w:ascii="Calibri" w:hAnsi="Calibri" w:cs="Arial"/>
        </w:rPr>
        <w:t xml:space="preserve">Global LEADERS will be independently designed, implemented and analyzed by the study investigators, </w:t>
      </w:r>
      <w:r w:rsidR="003E5218" w:rsidRPr="00B13ECE">
        <w:rPr>
          <w:rFonts w:ascii="Calibri" w:hAnsi="Calibri" w:cs="Arial"/>
        </w:rPr>
        <w:t>who in addition to Prof</w:t>
      </w:r>
      <w:r w:rsidR="003835E3" w:rsidRPr="00B13ECE">
        <w:rPr>
          <w:rFonts w:ascii="Calibri" w:hAnsi="Calibri" w:cs="Arial"/>
        </w:rPr>
        <w:t>.</w:t>
      </w:r>
      <w:r w:rsidR="00E14214">
        <w:rPr>
          <w:rFonts w:ascii="Calibri" w:hAnsi="Calibri" w:cs="Arial"/>
        </w:rPr>
        <w:t xml:space="preserve"> </w:t>
      </w:r>
      <w:r w:rsidR="00E05DE2" w:rsidRPr="00B13ECE">
        <w:rPr>
          <w:rFonts w:ascii="Calibri" w:hAnsi="Calibri" w:cs="Arial"/>
        </w:rPr>
        <w:t>Serruys</w:t>
      </w:r>
      <w:r w:rsidR="003835E3" w:rsidRPr="00B13ECE">
        <w:rPr>
          <w:rFonts w:asciiTheme="minorHAnsi" w:hAnsiTheme="minorHAnsi"/>
          <w:bCs/>
        </w:rPr>
        <w:t>(Erasmus Medical Center, Rotterdam, Netherlands)</w:t>
      </w:r>
      <w:r w:rsidR="00E05DE2" w:rsidRPr="00B13ECE">
        <w:rPr>
          <w:rFonts w:ascii="Calibri" w:hAnsi="Calibri" w:cs="Arial"/>
        </w:rPr>
        <w:t xml:space="preserve"> will include Co-</w:t>
      </w:r>
      <w:r w:rsidR="000F5E12">
        <w:rPr>
          <w:rFonts w:ascii="Calibri" w:hAnsi="Calibri" w:cs="Arial"/>
        </w:rPr>
        <w:t>Principal</w:t>
      </w:r>
      <w:r w:rsidRPr="00B13ECE">
        <w:rPr>
          <w:rFonts w:ascii="Calibri" w:hAnsi="Calibri" w:cs="Arial"/>
        </w:rPr>
        <w:t xml:space="preserve"> Investigator Professor Stephan Windecker</w:t>
      </w:r>
      <w:r w:rsidR="0058377F" w:rsidRPr="00B13ECE">
        <w:rPr>
          <w:rFonts w:ascii="Calibri" w:hAnsi="Calibri" w:cs="Arial"/>
        </w:rPr>
        <w:t>(University Hospital, Bern, Switzerland)</w:t>
      </w:r>
      <w:r w:rsidR="00E872CA" w:rsidRPr="00B13ECE">
        <w:rPr>
          <w:rFonts w:ascii="Calibri" w:hAnsi="Calibri" w:cs="Arial"/>
        </w:rPr>
        <w:t>. The st</w:t>
      </w:r>
      <w:r w:rsidR="003835E3" w:rsidRPr="00B13ECE">
        <w:rPr>
          <w:rFonts w:ascii="Calibri" w:hAnsi="Calibri" w:cs="Arial"/>
        </w:rPr>
        <w:t>udy w</w:t>
      </w:r>
      <w:r w:rsidR="000F5E12">
        <w:rPr>
          <w:rFonts w:ascii="Calibri" w:hAnsi="Calibri" w:cs="Arial"/>
        </w:rPr>
        <w:t>ill also have regional Principal</w:t>
      </w:r>
      <w:r w:rsidR="003835E3" w:rsidRPr="00B13ECE">
        <w:rPr>
          <w:rFonts w:ascii="Calibri" w:hAnsi="Calibri" w:cs="Arial"/>
        </w:rPr>
        <w:t xml:space="preserve"> Investigators</w:t>
      </w:r>
      <w:r w:rsidR="005B3020">
        <w:rPr>
          <w:rFonts w:ascii="Calibri" w:hAnsi="Calibri" w:cs="Arial"/>
        </w:rPr>
        <w:t xml:space="preserve"> in Europe, South America and Asia.  </w:t>
      </w:r>
      <w:r w:rsidR="007A0D8D">
        <w:rPr>
          <w:rFonts w:ascii="Calibri" w:hAnsi="Calibri" w:cs="Arial"/>
        </w:rPr>
        <w:t>Dr.</w:t>
      </w:r>
      <w:r w:rsidR="004F5FB2" w:rsidRPr="00B13ECE">
        <w:rPr>
          <w:rFonts w:ascii="Calibri" w:hAnsi="Calibri" w:cs="Arial"/>
        </w:rPr>
        <w:t xml:space="preserve"> Marco Valg</w:t>
      </w:r>
      <w:r w:rsidR="00E872CA" w:rsidRPr="00B13ECE">
        <w:rPr>
          <w:rFonts w:ascii="Calibri" w:hAnsi="Calibri" w:cs="Arial"/>
        </w:rPr>
        <w:t>imigli (University o</w:t>
      </w:r>
      <w:r w:rsidR="003835E3" w:rsidRPr="00B13ECE">
        <w:rPr>
          <w:rFonts w:ascii="Calibri" w:hAnsi="Calibri" w:cs="Arial"/>
        </w:rPr>
        <w:t>f Ferrara, Italy) will act as Princ</w:t>
      </w:r>
      <w:r w:rsidR="000F5E12">
        <w:rPr>
          <w:rFonts w:ascii="Calibri" w:hAnsi="Calibri" w:cs="Arial"/>
        </w:rPr>
        <w:t>ipal</w:t>
      </w:r>
      <w:r w:rsidR="003835E3" w:rsidRPr="00B13ECE">
        <w:rPr>
          <w:rFonts w:ascii="Calibri" w:hAnsi="Calibri" w:cs="Arial"/>
        </w:rPr>
        <w:t xml:space="preserve"> Investigator for the anti-platelet therapy</w:t>
      </w:r>
      <w:r w:rsidR="00E872CA" w:rsidRPr="00B13ECE">
        <w:rPr>
          <w:rFonts w:ascii="Calibri" w:hAnsi="Calibri" w:cs="Arial"/>
        </w:rPr>
        <w:t xml:space="preserve"> portion of the study.</w:t>
      </w:r>
    </w:p>
    <w:p w:rsidR="00AE572B" w:rsidRPr="00B13ECE" w:rsidRDefault="00AE572B" w:rsidP="00B13ECE">
      <w:pPr>
        <w:pStyle w:val="NormalWeb"/>
        <w:jc w:val="both"/>
        <w:rPr>
          <w:rFonts w:asciiTheme="minorHAnsi" w:hAnsiTheme="minorHAnsi"/>
          <w:bCs/>
        </w:rPr>
      </w:pPr>
      <w:r w:rsidRPr="00B13ECE">
        <w:rPr>
          <w:rFonts w:asciiTheme="minorHAnsi" w:hAnsiTheme="minorHAnsi"/>
          <w:bCs/>
        </w:rPr>
        <w:t>Global LEADERS aims to build</w:t>
      </w:r>
      <w:r w:rsidR="003835E3" w:rsidRPr="00B13ECE">
        <w:rPr>
          <w:rFonts w:asciiTheme="minorHAnsi" w:hAnsiTheme="minorHAnsi"/>
          <w:bCs/>
        </w:rPr>
        <w:t xml:space="preserve"> on the concept of the </w:t>
      </w:r>
      <w:r w:rsidRPr="00B13ECE">
        <w:rPr>
          <w:rFonts w:asciiTheme="minorHAnsi" w:hAnsiTheme="minorHAnsi"/>
          <w:bCs/>
        </w:rPr>
        <w:t>landmark</w:t>
      </w:r>
      <w:r w:rsidR="00E14214">
        <w:rPr>
          <w:rFonts w:asciiTheme="minorHAnsi" w:hAnsiTheme="minorHAnsi"/>
          <w:bCs/>
        </w:rPr>
        <w:t xml:space="preserve"> </w:t>
      </w:r>
      <w:r w:rsidRPr="00B13ECE">
        <w:rPr>
          <w:rFonts w:asciiTheme="minorHAnsi" w:hAnsiTheme="minorHAnsi"/>
          <w:bCs/>
        </w:rPr>
        <w:t>LEADERS study,</w:t>
      </w:r>
      <w:r w:rsidRPr="00B13ECE">
        <w:rPr>
          <w:rFonts w:ascii="Calibri" w:hAnsi="Calibri" w:cs="Arial"/>
        </w:rPr>
        <w:t xml:space="preserve"> which was the first head-to-head randomized trial between two limus</w:t>
      </w:r>
      <w:r w:rsidR="00E14214">
        <w:rPr>
          <w:rFonts w:ascii="Calibri" w:hAnsi="Calibri" w:cs="Arial"/>
        </w:rPr>
        <w:t xml:space="preserve"> </w:t>
      </w:r>
      <w:r w:rsidR="000F5E12">
        <w:rPr>
          <w:rFonts w:ascii="Calibri" w:hAnsi="Calibri" w:cs="Arial"/>
        </w:rPr>
        <w:t>DES in an “all-comers”</w:t>
      </w:r>
      <w:r w:rsidRPr="00B13ECE">
        <w:rPr>
          <w:rFonts w:ascii="Calibri" w:hAnsi="Calibri" w:cs="Arial"/>
        </w:rPr>
        <w:t xml:space="preserve"> patient population u</w:t>
      </w:r>
      <w:r w:rsidR="000F5E12">
        <w:rPr>
          <w:rFonts w:ascii="Calibri" w:hAnsi="Calibri" w:cs="Arial"/>
        </w:rPr>
        <w:t xml:space="preserve">sing clinical outcomes as its </w:t>
      </w:r>
      <w:r w:rsidRPr="00B13ECE">
        <w:rPr>
          <w:rFonts w:ascii="Calibri" w:hAnsi="Calibri" w:cs="Arial"/>
        </w:rPr>
        <w:t xml:space="preserve">endpoint. </w:t>
      </w:r>
      <w:r w:rsidRPr="00B13ECE">
        <w:rPr>
          <w:rFonts w:asciiTheme="minorHAnsi" w:hAnsiTheme="minorHAnsi" w:cs="Arial"/>
        </w:rPr>
        <w:t>LEADERS results suggested that a DES with biodegradable polymer could be safer in the long term than a DES with durable polymer – especially in high-risk patient populations – under conditions which resemble those of routine clinical practice.</w:t>
      </w:r>
    </w:p>
    <w:p w:rsidR="003B5323" w:rsidRDefault="00AE572B" w:rsidP="00B13ECE">
      <w:pPr>
        <w:spacing w:after="120"/>
        <w:ind w:right="29"/>
        <w:jc w:val="both"/>
        <w:rPr>
          <w:rFonts w:ascii="Calibri" w:hAnsi="Calibri" w:cs="Arial"/>
        </w:rPr>
      </w:pPr>
      <w:r w:rsidRPr="00B13ECE">
        <w:rPr>
          <w:rFonts w:asciiTheme="minorHAnsi" w:hAnsiTheme="minorHAnsi" w:cs="Arial"/>
        </w:rPr>
        <w:t>“</w:t>
      </w:r>
      <w:r w:rsidR="003873D7" w:rsidRPr="00B13ECE">
        <w:rPr>
          <w:rFonts w:asciiTheme="minorHAnsi" w:hAnsiTheme="minorHAnsi" w:cs="Arial"/>
        </w:rPr>
        <w:t>I am delighted to be involved with this</w:t>
      </w:r>
      <w:r w:rsidRPr="00B13ECE">
        <w:rPr>
          <w:rFonts w:asciiTheme="minorHAnsi" w:hAnsiTheme="minorHAnsi" w:cs="Arial"/>
        </w:rPr>
        <w:t xml:space="preserve"> logical development </w:t>
      </w:r>
      <w:r w:rsidR="003873D7" w:rsidRPr="00B13ECE">
        <w:rPr>
          <w:rFonts w:asciiTheme="minorHAnsi" w:hAnsiTheme="minorHAnsi" w:cs="Arial"/>
        </w:rPr>
        <w:t>of</w:t>
      </w:r>
      <w:r w:rsidRPr="00B13ECE">
        <w:rPr>
          <w:rFonts w:asciiTheme="minorHAnsi" w:hAnsiTheme="minorHAnsi" w:cs="Arial"/>
        </w:rPr>
        <w:t xml:space="preserve"> the original LEADERS study”, commented Pr</w:t>
      </w:r>
      <w:r w:rsidR="003873D7" w:rsidRPr="00B13ECE">
        <w:rPr>
          <w:rFonts w:asciiTheme="minorHAnsi" w:hAnsiTheme="minorHAnsi" w:cs="Arial"/>
        </w:rPr>
        <w:t>of</w:t>
      </w:r>
      <w:r w:rsidR="003835E3" w:rsidRPr="00B13ECE">
        <w:rPr>
          <w:rFonts w:asciiTheme="minorHAnsi" w:hAnsiTheme="minorHAnsi" w:cs="Arial"/>
        </w:rPr>
        <w:t>.</w:t>
      </w:r>
      <w:r w:rsidR="003873D7" w:rsidRPr="00B13ECE">
        <w:rPr>
          <w:rFonts w:asciiTheme="minorHAnsi" w:hAnsiTheme="minorHAnsi" w:cs="Arial"/>
        </w:rPr>
        <w:t xml:space="preserve"> Serruys</w:t>
      </w:r>
      <w:r w:rsidRPr="00B13ECE">
        <w:rPr>
          <w:rFonts w:asciiTheme="minorHAnsi" w:hAnsiTheme="minorHAnsi" w:cs="Arial"/>
        </w:rPr>
        <w:t>.  “By continuing the concept of a head-to-head study against a widely-used drug-eluting stent</w:t>
      </w:r>
      <w:r w:rsidR="00E14214">
        <w:rPr>
          <w:rFonts w:asciiTheme="minorHAnsi" w:hAnsiTheme="minorHAnsi" w:cs="Arial"/>
        </w:rPr>
        <w:t xml:space="preserve"> </w:t>
      </w:r>
      <w:r w:rsidRPr="00B13ECE">
        <w:rPr>
          <w:rFonts w:asciiTheme="minorHAnsi" w:hAnsiTheme="minorHAnsi" w:cs="Arial"/>
        </w:rPr>
        <w:t>with durable polymer using a true clinical endpoint,</w:t>
      </w:r>
      <w:r w:rsidR="00E14214">
        <w:rPr>
          <w:rFonts w:asciiTheme="minorHAnsi" w:hAnsiTheme="minorHAnsi" w:cs="Arial"/>
        </w:rPr>
        <w:t xml:space="preserve"> </w:t>
      </w:r>
      <w:r w:rsidRPr="00B13ECE">
        <w:rPr>
          <w:rFonts w:asciiTheme="minorHAnsi" w:hAnsiTheme="minorHAnsi" w:cs="Arial"/>
        </w:rPr>
        <w:t>and</w:t>
      </w:r>
      <w:r w:rsidR="00E14214">
        <w:rPr>
          <w:rFonts w:asciiTheme="minorHAnsi" w:hAnsiTheme="minorHAnsi" w:cs="Arial"/>
        </w:rPr>
        <w:t xml:space="preserve"> </w:t>
      </w:r>
      <w:r w:rsidRPr="00B13ECE">
        <w:rPr>
          <w:rFonts w:asciiTheme="minorHAnsi" w:hAnsiTheme="minorHAnsi" w:cs="Arial"/>
        </w:rPr>
        <w:t>involving nearly six times as many patients, we anticipate that the study will be sufficiently powered to produce meaningful results on the benefits of a drug-eluting stent with biodegradable polymer in a broad range of pre-defined patient subgroups.</w:t>
      </w:r>
      <w:r w:rsidR="00E91833" w:rsidRPr="00B13ECE">
        <w:rPr>
          <w:rFonts w:asciiTheme="minorHAnsi" w:hAnsiTheme="minorHAnsi" w:cs="Arial"/>
        </w:rPr>
        <w:t>”</w:t>
      </w:r>
    </w:p>
    <w:p w:rsidR="007A0D8D" w:rsidRDefault="00E91833" w:rsidP="00B13ECE">
      <w:pPr>
        <w:spacing w:after="120"/>
        <w:ind w:right="29"/>
        <w:jc w:val="both"/>
        <w:rPr>
          <w:rFonts w:asciiTheme="minorHAnsi" w:hAnsiTheme="minorHAnsi"/>
          <w:bCs/>
        </w:rPr>
      </w:pPr>
      <w:r w:rsidRPr="00B13ECE">
        <w:rPr>
          <w:rFonts w:asciiTheme="minorHAnsi" w:hAnsiTheme="minorHAnsi" w:cs="Arial"/>
        </w:rPr>
        <w:t>“Global LEADERS should provide us with further valuable information, in that it will evaluate the risk</w:t>
      </w:r>
      <w:r w:rsidR="00B13ECE" w:rsidRPr="00B13ECE">
        <w:rPr>
          <w:rFonts w:asciiTheme="minorHAnsi" w:hAnsiTheme="minorHAnsi" w:cs="Arial"/>
        </w:rPr>
        <w:t>s</w:t>
      </w:r>
      <w:r w:rsidRPr="00B13ECE">
        <w:rPr>
          <w:rFonts w:asciiTheme="minorHAnsi" w:hAnsiTheme="minorHAnsi" w:cs="Arial"/>
        </w:rPr>
        <w:t xml:space="preserve"> and benefits associated with a short versus a long duration course of anti-platelet </w:t>
      </w:r>
      <w:r w:rsidRPr="00B13ECE">
        <w:rPr>
          <w:rFonts w:asciiTheme="minorHAnsi" w:hAnsiTheme="minorHAnsi"/>
          <w:bCs/>
        </w:rPr>
        <w:t>therapy following DES implantation in a large number of patients</w:t>
      </w:r>
      <w:r w:rsidR="00F151F6">
        <w:rPr>
          <w:rFonts w:asciiTheme="minorHAnsi" w:hAnsiTheme="minorHAnsi"/>
          <w:bCs/>
        </w:rPr>
        <w:t xml:space="preserve">”, </w:t>
      </w:r>
      <w:r w:rsidR="00F151F6" w:rsidRPr="00B13ECE">
        <w:rPr>
          <w:rFonts w:asciiTheme="minorHAnsi" w:hAnsiTheme="minorHAnsi"/>
          <w:bCs/>
        </w:rPr>
        <w:t>added Prof.</w:t>
      </w:r>
      <w:r w:rsidR="00E14214">
        <w:rPr>
          <w:rFonts w:asciiTheme="minorHAnsi" w:hAnsiTheme="minorHAnsi"/>
          <w:bCs/>
        </w:rPr>
        <w:t xml:space="preserve"> </w:t>
      </w:r>
      <w:r w:rsidR="00F151F6">
        <w:rPr>
          <w:rFonts w:asciiTheme="minorHAnsi" w:hAnsiTheme="minorHAnsi"/>
          <w:bCs/>
        </w:rPr>
        <w:t xml:space="preserve">Windecker. </w:t>
      </w:r>
    </w:p>
    <w:p w:rsidR="005B3020" w:rsidRDefault="005B3020" w:rsidP="00B13ECE">
      <w:pPr>
        <w:spacing w:after="120"/>
        <w:ind w:right="29"/>
        <w:jc w:val="both"/>
        <w:rPr>
          <w:rFonts w:asciiTheme="minorHAnsi" w:hAnsiTheme="minorHAnsi"/>
          <w:bCs/>
        </w:rPr>
      </w:pPr>
    </w:p>
    <w:p w:rsidR="005B3020" w:rsidRPr="00B13ECE" w:rsidRDefault="005B3020" w:rsidP="005B3020">
      <w:pPr>
        <w:spacing w:after="120"/>
        <w:ind w:right="29"/>
        <w:jc w:val="right"/>
        <w:rPr>
          <w:rFonts w:ascii="Calibri" w:hAnsi="Calibri" w:cs="Arial"/>
        </w:rPr>
      </w:pPr>
      <w:r w:rsidRPr="00B13ECE">
        <w:rPr>
          <w:rFonts w:asciiTheme="minorHAnsi" w:hAnsiTheme="minorHAnsi" w:cs="Arial"/>
          <w:b/>
          <w:lang w:val="en-GB" w:eastAsia="en-GB"/>
        </w:rPr>
        <w:t>More/...</w:t>
      </w:r>
    </w:p>
    <w:p w:rsidR="00AE572B" w:rsidRPr="00B13ECE" w:rsidRDefault="00AE572B" w:rsidP="00B13ECE">
      <w:pPr>
        <w:spacing w:after="120"/>
        <w:ind w:right="29"/>
        <w:jc w:val="both"/>
        <w:rPr>
          <w:rFonts w:asciiTheme="minorHAnsi" w:hAnsiTheme="minorHAnsi"/>
          <w:bCs/>
        </w:rPr>
      </w:pPr>
      <w:r w:rsidRPr="00B13ECE">
        <w:rPr>
          <w:rFonts w:asciiTheme="minorHAnsi" w:hAnsiTheme="minorHAnsi"/>
          <w:bCs/>
        </w:rPr>
        <w:lastRenderedPageBreak/>
        <w:t>“We are delighted to once again have the opportunity to be involved in a truly</w:t>
      </w:r>
      <w:r w:rsidR="003873D7" w:rsidRPr="00B13ECE">
        <w:rPr>
          <w:rFonts w:asciiTheme="minorHAnsi" w:hAnsiTheme="minorHAnsi"/>
          <w:bCs/>
        </w:rPr>
        <w:t xml:space="preserve"> ground-breaking</w:t>
      </w:r>
      <w:r w:rsidRPr="00B13ECE">
        <w:rPr>
          <w:rFonts w:asciiTheme="minorHAnsi" w:hAnsiTheme="minorHAnsi"/>
          <w:bCs/>
        </w:rPr>
        <w:t xml:space="preserve"> study, which represents another first for Biosensors in the field of dr</w:t>
      </w:r>
      <w:r w:rsidR="00E91833" w:rsidRPr="00B13ECE">
        <w:rPr>
          <w:rFonts w:asciiTheme="minorHAnsi" w:hAnsiTheme="minorHAnsi"/>
          <w:bCs/>
        </w:rPr>
        <w:t>ug-eluting stent research” concluded</w:t>
      </w:r>
      <w:r w:rsidRPr="00B13ECE">
        <w:rPr>
          <w:rFonts w:asciiTheme="minorHAnsi" w:hAnsiTheme="minorHAnsi"/>
          <w:bCs/>
        </w:rPr>
        <w:t xml:space="preserve"> Biosensors Co-CEO Jeffrey B. Jump. “LEADERS changed the </w:t>
      </w:r>
      <w:r w:rsidR="00E91833" w:rsidRPr="00B13ECE">
        <w:rPr>
          <w:rFonts w:asciiTheme="minorHAnsi" w:hAnsiTheme="minorHAnsi"/>
          <w:bCs/>
        </w:rPr>
        <w:t>mind-set</w:t>
      </w:r>
      <w:r w:rsidRPr="00B13ECE">
        <w:rPr>
          <w:rFonts w:asciiTheme="minorHAnsi" w:hAnsiTheme="minorHAnsi"/>
          <w:bCs/>
        </w:rPr>
        <w:t xml:space="preserve"> of how DES trials were perceived, and established a new benchmark for their design. Now Global LEADERS will raise the bar again for DES trial design in a wider population”. </w:t>
      </w:r>
    </w:p>
    <w:p w:rsidR="00AE572B" w:rsidRPr="00B13ECE" w:rsidRDefault="00AE572B" w:rsidP="00B13ECE">
      <w:pPr>
        <w:spacing w:after="120"/>
        <w:ind w:right="29"/>
        <w:jc w:val="both"/>
        <w:rPr>
          <w:rFonts w:asciiTheme="minorHAnsi" w:hAnsiTheme="minorHAnsi" w:cs="Arial"/>
          <w:lang w:val="en-GB" w:eastAsia="en-GB"/>
        </w:rPr>
      </w:pPr>
      <w:r w:rsidRPr="00B13ECE">
        <w:rPr>
          <w:rFonts w:asciiTheme="minorHAnsi" w:hAnsiTheme="minorHAnsi" w:cs="Arial"/>
          <w:lang w:val="en-GB" w:eastAsia="en-GB"/>
        </w:rPr>
        <w:t xml:space="preserve">The BioMatrix Flex stent system offers the unique combination of </w:t>
      </w:r>
      <w:r w:rsidRPr="00B13ECE">
        <w:rPr>
          <w:rFonts w:asciiTheme="minorHAnsi" w:hAnsiTheme="minorHAnsi" w:cs="Arial"/>
        </w:rPr>
        <w:t>Biolimus A9™ (BA9</w:t>
      </w:r>
      <w:r w:rsidR="00B13ECE" w:rsidRPr="00B13ECE">
        <w:rPr>
          <w:rFonts w:asciiTheme="minorHAnsi" w:hAnsiTheme="minorHAnsi" w:cs="Arial"/>
        </w:rPr>
        <w:t>™</w:t>
      </w:r>
      <w:r w:rsidRPr="00B13ECE">
        <w:rPr>
          <w:rFonts w:asciiTheme="minorHAnsi" w:hAnsiTheme="minorHAnsi" w:cs="Arial"/>
        </w:rPr>
        <w:t xml:space="preserve">), an anti-restenotic drug developed </w:t>
      </w:r>
      <w:r w:rsidR="003835E3" w:rsidRPr="00B13ECE">
        <w:rPr>
          <w:rFonts w:asciiTheme="minorHAnsi" w:hAnsiTheme="minorHAnsi" w:cs="Arial"/>
        </w:rPr>
        <w:t xml:space="preserve">and patented </w:t>
      </w:r>
      <w:r w:rsidR="00E9354B">
        <w:rPr>
          <w:rFonts w:asciiTheme="minorHAnsi" w:hAnsiTheme="minorHAnsi" w:cs="Arial"/>
        </w:rPr>
        <w:t>by Biosensors specifically</w:t>
      </w:r>
      <w:r w:rsidRPr="00B13ECE">
        <w:rPr>
          <w:rFonts w:asciiTheme="minorHAnsi" w:hAnsiTheme="minorHAnsi" w:cs="Arial"/>
        </w:rPr>
        <w:t xml:space="preserve"> for use with drug-eluting stents, combined with a biodegradable poly-lactic acid (PLA) polymer abluminally coated onto an advanced, highly flexible stent platform designed for enhanced deliverability.  BA9 has the highest lipophilic profile of the common limus drugs, enabling rapid absorption by the tissue and minimizing systemic exposure. The PLA polymer fully degrades int</w:t>
      </w:r>
      <w:r w:rsidR="000F5E12">
        <w:rPr>
          <w:rFonts w:asciiTheme="minorHAnsi" w:hAnsiTheme="minorHAnsi" w:cs="Arial"/>
        </w:rPr>
        <w:t>o carbon dioxide and water over</w:t>
      </w:r>
      <w:r w:rsidRPr="00B13ECE">
        <w:rPr>
          <w:rFonts w:asciiTheme="minorHAnsi" w:hAnsiTheme="minorHAnsi" w:cs="Arial"/>
        </w:rPr>
        <w:t xml:space="preserve"> a six to nine month period as it releases BA9</w:t>
      </w:r>
      <w:r w:rsidR="00620653" w:rsidRPr="00B13ECE">
        <w:rPr>
          <w:rFonts w:asciiTheme="minorHAnsi" w:hAnsiTheme="minorHAnsi" w:cs="Arial"/>
        </w:rPr>
        <w:t>.</w:t>
      </w:r>
    </w:p>
    <w:p w:rsidR="0001679D" w:rsidRDefault="0001679D" w:rsidP="000F5E12">
      <w:pPr>
        <w:spacing w:after="120"/>
        <w:jc w:val="center"/>
        <w:rPr>
          <w:rFonts w:asciiTheme="minorHAnsi" w:hAnsiTheme="minorHAnsi" w:cs="Arial"/>
          <w:b/>
          <w:bCs/>
        </w:rPr>
      </w:pPr>
    </w:p>
    <w:p w:rsidR="00AE572B" w:rsidRPr="00B13ECE" w:rsidRDefault="00AE572B" w:rsidP="000F5E12">
      <w:pPr>
        <w:spacing w:after="120"/>
        <w:jc w:val="center"/>
        <w:rPr>
          <w:rFonts w:asciiTheme="minorHAnsi" w:hAnsiTheme="minorHAnsi" w:cs="Arial"/>
          <w:b/>
          <w:bCs/>
        </w:rPr>
      </w:pPr>
      <w:r w:rsidRPr="00B13ECE">
        <w:rPr>
          <w:rFonts w:asciiTheme="minorHAnsi" w:hAnsiTheme="minorHAnsi" w:cs="Arial"/>
          <w:b/>
          <w:bCs/>
        </w:rPr>
        <w:t>-Ends-</w:t>
      </w:r>
    </w:p>
    <w:p w:rsidR="0001679D" w:rsidRDefault="0001679D" w:rsidP="00B13ECE">
      <w:pPr>
        <w:autoSpaceDE w:val="0"/>
        <w:autoSpaceDN w:val="0"/>
        <w:adjustRightInd w:val="0"/>
        <w:jc w:val="both"/>
        <w:rPr>
          <w:rFonts w:asciiTheme="minorHAnsi" w:hAnsiTheme="minorHAnsi"/>
          <w:b/>
          <w:bCs/>
        </w:rPr>
      </w:pPr>
    </w:p>
    <w:p w:rsidR="00AE572B" w:rsidRPr="00B13ECE" w:rsidRDefault="00AE572B" w:rsidP="00B13ECE">
      <w:pPr>
        <w:autoSpaceDE w:val="0"/>
        <w:autoSpaceDN w:val="0"/>
        <w:adjustRightInd w:val="0"/>
        <w:jc w:val="both"/>
        <w:rPr>
          <w:rFonts w:asciiTheme="minorHAnsi" w:hAnsiTheme="minorHAnsi"/>
          <w:b/>
          <w:bCs/>
        </w:rPr>
      </w:pPr>
      <w:r w:rsidRPr="00B13ECE">
        <w:rPr>
          <w:rFonts w:asciiTheme="minorHAnsi" w:hAnsiTheme="minorHAnsi"/>
          <w:b/>
          <w:bCs/>
        </w:rPr>
        <w:t>For further information, please contact:</w:t>
      </w:r>
    </w:p>
    <w:p w:rsidR="00566FE5" w:rsidRDefault="00566FE5" w:rsidP="00566FE5">
      <w:pPr>
        <w:autoSpaceDE w:val="0"/>
        <w:autoSpaceDN w:val="0"/>
        <w:adjustRightInd w:val="0"/>
        <w:jc w:val="both"/>
        <w:rPr>
          <w:rFonts w:asciiTheme="minorHAnsi" w:hAnsiTheme="minorHAnsi"/>
          <w:u w:val="single"/>
        </w:rPr>
      </w:pPr>
    </w:p>
    <w:p w:rsidR="00566FE5" w:rsidRPr="00566FE5" w:rsidRDefault="00566FE5" w:rsidP="00566FE5">
      <w:pPr>
        <w:autoSpaceDE w:val="0"/>
        <w:autoSpaceDN w:val="0"/>
        <w:adjustRightInd w:val="0"/>
        <w:jc w:val="both"/>
        <w:rPr>
          <w:rFonts w:asciiTheme="minorHAnsi" w:hAnsiTheme="minorHAnsi"/>
          <w:u w:val="single"/>
        </w:rPr>
      </w:pPr>
      <w:bookmarkStart w:id="0" w:name="_GoBack"/>
      <w:bookmarkEnd w:id="0"/>
      <w:r w:rsidRPr="00566FE5">
        <w:rPr>
          <w:rFonts w:asciiTheme="minorHAnsi" w:hAnsiTheme="minorHAnsi"/>
          <w:u w:val="single"/>
        </w:rPr>
        <w:t>Corporate Communications</w:t>
      </w:r>
    </w:p>
    <w:p w:rsidR="00AE572B" w:rsidRPr="00B13ECE" w:rsidRDefault="00AE572B" w:rsidP="00B13ECE">
      <w:pPr>
        <w:autoSpaceDE w:val="0"/>
        <w:autoSpaceDN w:val="0"/>
        <w:adjustRightInd w:val="0"/>
        <w:jc w:val="both"/>
        <w:rPr>
          <w:rFonts w:asciiTheme="minorHAnsi" w:hAnsiTheme="minorHAnsi"/>
        </w:rPr>
      </w:pPr>
      <w:r w:rsidRPr="00B13ECE">
        <w:rPr>
          <w:rFonts w:asciiTheme="minorHAnsi" w:hAnsiTheme="minorHAnsi"/>
        </w:rPr>
        <w:t>Richard Kenyon</w:t>
      </w:r>
    </w:p>
    <w:p w:rsidR="00AE572B" w:rsidRPr="00B13ECE" w:rsidRDefault="00AE572B" w:rsidP="00B13ECE">
      <w:pPr>
        <w:autoSpaceDE w:val="0"/>
        <w:autoSpaceDN w:val="0"/>
        <w:adjustRightInd w:val="0"/>
        <w:jc w:val="both"/>
        <w:rPr>
          <w:rFonts w:asciiTheme="minorHAnsi" w:hAnsiTheme="minorHAnsi"/>
        </w:rPr>
      </w:pPr>
      <w:r w:rsidRPr="00B13ECE">
        <w:rPr>
          <w:rFonts w:asciiTheme="minorHAnsi" w:hAnsiTheme="minorHAnsi"/>
        </w:rPr>
        <w:t>Biosensors International</w:t>
      </w:r>
    </w:p>
    <w:p w:rsidR="00AE572B" w:rsidRPr="00B13ECE" w:rsidRDefault="00AE572B" w:rsidP="00B13ECE">
      <w:pPr>
        <w:autoSpaceDE w:val="0"/>
        <w:autoSpaceDN w:val="0"/>
        <w:adjustRightInd w:val="0"/>
        <w:jc w:val="both"/>
        <w:rPr>
          <w:rFonts w:asciiTheme="minorHAnsi" w:hAnsiTheme="minorHAnsi"/>
        </w:rPr>
      </w:pPr>
      <w:r w:rsidRPr="00B13ECE">
        <w:rPr>
          <w:rFonts w:asciiTheme="minorHAnsi" w:hAnsiTheme="minorHAnsi"/>
        </w:rPr>
        <w:t>+44 7831569940</w:t>
      </w:r>
    </w:p>
    <w:p w:rsidR="00AE572B" w:rsidRDefault="00B03770" w:rsidP="00B13ECE">
      <w:pPr>
        <w:autoSpaceDE w:val="0"/>
        <w:autoSpaceDN w:val="0"/>
        <w:adjustRightInd w:val="0"/>
        <w:jc w:val="both"/>
        <w:rPr>
          <w:rFonts w:asciiTheme="minorHAnsi" w:hAnsiTheme="minorHAnsi"/>
        </w:rPr>
      </w:pPr>
      <w:hyperlink r:id="rId9" w:history="1">
        <w:r w:rsidR="00566FE5" w:rsidRPr="00DC41F8">
          <w:rPr>
            <w:rStyle w:val="Hyperlink"/>
            <w:rFonts w:asciiTheme="minorHAnsi" w:hAnsiTheme="minorHAnsi"/>
          </w:rPr>
          <w:t>r.kenyon@biosensors.com</w:t>
        </w:r>
      </w:hyperlink>
    </w:p>
    <w:p w:rsidR="00566FE5" w:rsidRDefault="00566FE5" w:rsidP="00B13ECE">
      <w:pPr>
        <w:autoSpaceDE w:val="0"/>
        <w:autoSpaceDN w:val="0"/>
        <w:adjustRightInd w:val="0"/>
        <w:jc w:val="both"/>
        <w:rPr>
          <w:rFonts w:asciiTheme="minorHAnsi" w:hAnsiTheme="minorHAnsi"/>
        </w:rPr>
      </w:pPr>
    </w:p>
    <w:p w:rsidR="00566FE5" w:rsidRPr="00566FE5" w:rsidRDefault="00566FE5" w:rsidP="00566FE5">
      <w:pPr>
        <w:autoSpaceDE w:val="0"/>
        <w:autoSpaceDN w:val="0"/>
        <w:adjustRightInd w:val="0"/>
        <w:rPr>
          <w:rFonts w:asciiTheme="minorHAnsi" w:hAnsiTheme="minorHAnsi" w:cstheme="minorHAnsi"/>
          <w:color w:val="000000"/>
          <w:u w:val="single"/>
        </w:rPr>
      </w:pPr>
      <w:r w:rsidRPr="00566FE5">
        <w:rPr>
          <w:rFonts w:asciiTheme="minorHAnsi" w:hAnsiTheme="minorHAnsi" w:cstheme="minorHAnsi"/>
          <w:color w:val="000000"/>
          <w:u w:val="single"/>
        </w:rPr>
        <w:t>Investor Relations</w:t>
      </w:r>
    </w:p>
    <w:p w:rsidR="00566FE5" w:rsidRPr="00566FE5" w:rsidRDefault="00566FE5" w:rsidP="00566FE5">
      <w:pPr>
        <w:autoSpaceDE w:val="0"/>
        <w:autoSpaceDN w:val="0"/>
        <w:adjustRightInd w:val="0"/>
        <w:rPr>
          <w:rFonts w:asciiTheme="minorHAnsi" w:hAnsiTheme="minorHAnsi" w:cstheme="minorHAnsi"/>
          <w:color w:val="000000"/>
        </w:rPr>
      </w:pPr>
      <w:r w:rsidRPr="00566FE5">
        <w:rPr>
          <w:rFonts w:asciiTheme="minorHAnsi" w:hAnsiTheme="minorHAnsi" w:cstheme="minorHAnsi"/>
          <w:color w:val="000000"/>
        </w:rPr>
        <w:t>Wong TeckYenn</w:t>
      </w:r>
    </w:p>
    <w:p w:rsidR="00566FE5" w:rsidRPr="00566FE5" w:rsidRDefault="00566FE5" w:rsidP="00566FE5">
      <w:pPr>
        <w:autoSpaceDE w:val="0"/>
        <w:autoSpaceDN w:val="0"/>
        <w:adjustRightInd w:val="0"/>
        <w:rPr>
          <w:rFonts w:asciiTheme="minorHAnsi" w:hAnsiTheme="minorHAnsi" w:cstheme="minorHAnsi"/>
          <w:color w:val="000000"/>
        </w:rPr>
      </w:pPr>
      <w:r w:rsidRPr="00566FE5">
        <w:rPr>
          <w:rFonts w:asciiTheme="minorHAnsi" w:hAnsiTheme="minorHAnsi" w:cstheme="minorHAnsi"/>
          <w:color w:val="000000"/>
        </w:rPr>
        <w:t>Biosensors International Group</w:t>
      </w:r>
    </w:p>
    <w:p w:rsidR="00566FE5" w:rsidRPr="00566FE5" w:rsidRDefault="00566FE5" w:rsidP="00566FE5">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+65</w:t>
      </w:r>
      <w:r w:rsidRPr="00566FE5">
        <w:rPr>
          <w:rFonts w:asciiTheme="minorHAnsi" w:hAnsiTheme="minorHAnsi" w:cstheme="minorHAnsi"/>
          <w:color w:val="000000"/>
        </w:rPr>
        <w:t xml:space="preserve"> 6213 5708</w:t>
      </w:r>
    </w:p>
    <w:p w:rsidR="00566FE5" w:rsidRPr="00566FE5" w:rsidRDefault="00B03770" w:rsidP="00566FE5">
      <w:pPr>
        <w:autoSpaceDE w:val="0"/>
        <w:autoSpaceDN w:val="0"/>
        <w:adjustRightInd w:val="0"/>
        <w:rPr>
          <w:rFonts w:asciiTheme="minorHAnsi" w:hAnsiTheme="minorHAnsi" w:cstheme="minorHAnsi"/>
          <w:color w:val="000000"/>
        </w:rPr>
      </w:pPr>
      <w:hyperlink r:id="rId10" w:history="1">
        <w:r w:rsidR="00566FE5" w:rsidRPr="00566FE5">
          <w:rPr>
            <w:rStyle w:val="Hyperlink"/>
            <w:rFonts w:asciiTheme="minorHAnsi" w:hAnsiTheme="minorHAnsi" w:cstheme="minorHAnsi"/>
          </w:rPr>
          <w:t>ty.wong@biosensors.com</w:t>
        </w:r>
      </w:hyperlink>
    </w:p>
    <w:p w:rsidR="00566FE5" w:rsidRPr="00B13ECE" w:rsidRDefault="00566FE5" w:rsidP="00B13ECE">
      <w:pPr>
        <w:autoSpaceDE w:val="0"/>
        <w:autoSpaceDN w:val="0"/>
        <w:adjustRightInd w:val="0"/>
        <w:jc w:val="both"/>
        <w:rPr>
          <w:rFonts w:asciiTheme="minorHAnsi" w:hAnsiTheme="minorHAnsi"/>
        </w:rPr>
      </w:pPr>
    </w:p>
    <w:p w:rsidR="00AE572B" w:rsidRPr="00B13ECE" w:rsidRDefault="00AE572B" w:rsidP="00B13ECE">
      <w:pPr>
        <w:autoSpaceDE w:val="0"/>
        <w:autoSpaceDN w:val="0"/>
        <w:adjustRightInd w:val="0"/>
        <w:jc w:val="both"/>
        <w:rPr>
          <w:rFonts w:asciiTheme="minorHAnsi" w:hAnsiTheme="minorHAnsi"/>
          <w:b/>
          <w:bCs/>
        </w:rPr>
      </w:pPr>
    </w:p>
    <w:p w:rsidR="00A75B2E" w:rsidRPr="00B13ECE" w:rsidRDefault="00A75B2E" w:rsidP="00B13ECE">
      <w:pPr>
        <w:autoSpaceDE w:val="0"/>
        <w:autoSpaceDN w:val="0"/>
        <w:adjustRightInd w:val="0"/>
        <w:jc w:val="both"/>
        <w:rPr>
          <w:rFonts w:asciiTheme="minorHAnsi" w:hAnsiTheme="minorHAnsi" w:cs="Calibri-Bold"/>
          <w:b/>
          <w:bCs/>
        </w:rPr>
      </w:pPr>
      <w:r w:rsidRPr="00B13ECE">
        <w:rPr>
          <w:rFonts w:asciiTheme="minorHAnsi" w:hAnsiTheme="minorHAnsi" w:cs="Calibri-Bold"/>
          <w:b/>
          <w:bCs/>
        </w:rPr>
        <w:t>About Biosensors International</w:t>
      </w:r>
    </w:p>
    <w:p w:rsidR="00A75B2E" w:rsidRPr="00B13ECE" w:rsidRDefault="00A75B2E" w:rsidP="00B13ECE">
      <w:pPr>
        <w:autoSpaceDE w:val="0"/>
        <w:autoSpaceDN w:val="0"/>
        <w:adjustRightInd w:val="0"/>
        <w:jc w:val="both"/>
        <w:rPr>
          <w:rFonts w:asciiTheme="minorHAnsi" w:hAnsiTheme="minorHAnsi" w:cstheme="minorHAnsi"/>
        </w:rPr>
      </w:pPr>
      <w:r w:rsidRPr="00B13ECE">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A75B2E" w:rsidRPr="00B13ECE" w:rsidRDefault="00A75B2E" w:rsidP="00B13ECE">
      <w:pPr>
        <w:autoSpaceDE w:val="0"/>
        <w:autoSpaceDN w:val="0"/>
        <w:adjustRightInd w:val="0"/>
        <w:jc w:val="both"/>
        <w:rPr>
          <w:rFonts w:asciiTheme="minorHAnsi" w:hAnsiTheme="minorHAnsi" w:cstheme="minorHAnsi"/>
        </w:rPr>
      </w:pPr>
    </w:p>
    <w:p w:rsidR="00A75B2E" w:rsidRPr="00B13ECE" w:rsidRDefault="00A75B2E" w:rsidP="00B13ECE">
      <w:pPr>
        <w:autoSpaceDE w:val="0"/>
        <w:autoSpaceDN w:val="0"/>
        <w:adjustRightInd w:val="0"/>
        <w:jc w:val="both"/>
        <w:rPr>
          <w:rFonts w:asciiTheme="minorHAnsi" w:hAnsiTheme="minorHAnsi" w:cstheme="minorHAnsi"/>
          <w:lang w:eastAsia="en-GB"/>
        </w:rPr>
      </w:pPr>
      <w:r w:rsidRPr="00B13ECE">
        <w:rPr>
          <w:rFonts w:asciiTheme="minorHAnsi" w:hAnsiTheme="minorHAnsi" w:cstheme="minorHAnsi"/>
          <w:lang w:eastAsia="en-GB"/>
        </w:rPr>
        <w:t xml:space="preserve">With the increasing use of the </w:t>
      </w:r>
      <w:r w:rsidR="00B13ECE" w:rsidRPr="00B13ECE">
        <w:rPr>
          <w:rFonts w:asciiTheme="minorHAnsi" w:hAnsiTheme="minorHAnsi" w:cstheme="minorHAnsi"/>
          <w:iCs/>
        </w:rPr>
        <w:t>BioMatrix</w:t>
      </w:r>
      <w:r w:rsidRPr="00B13ECE">
        <w:rPr>
          <w:rFonts w:asciiTheme="minorHAnsi" w:hAnsiTheme="minorHAnsi" w:cstheme="minorHAnsi"/>
          <w:iCs/>
        </w:rPr>
        <w:t xml:space="preserve">™ family of drug-eluting stents, </w:t>
      </w:r>
      <w:r w:rsidRPr="00B13ECE">
        <w:rPr>
          <w:rFonts w:asciiTheme="minorHAnsi" w:hAnsiTheme="minorHAnsi" w:cstheme="minorHAnsi"/>
        </w:rPr>
        <w:t xml:space="preserve">we are </w:t>
      </w:r>
      <w:r w:rsidRPr="00B13ECE">
        <w:rPr>
          <w:rFonts w:asciiTheme="minorHAnsi" w:hAnsiTheme="minorHAnsi" w:cstheme="minorHAnsi"/>
          <w:lang w:eastAsia="en-GB"/>
        </w:rPr>
        <w:t>rapidly emerging as a leader in the global coronary stent market. The forthcoming launch of</w:t>
      </w:r>
      <w:r w:rsidR="00E14214">
        <w:rPr>
          <w:rFonts w:asciiTheme="minorHAnsi" w:hAnsiTheme="minorHAnsi" w:cstheme="minorHAnsi"/>
          <w:lang w:eastAsia="en-GB"/>
        </w:rPr>
        <w:t xml:space="preserve"> </w:t>
      </w:r>
      <w:r w:rsidRPr="00B13ECE">
        <w:rPr>
          <w:rFonts w:asciiTheme="minorHAnsi" w:hAnsiTheme="minorHAnsi" w:cstheme="minorHAnsi"/>
          <w:iCs/>
        </w:rPr>
        <w:t xml:space="preserve">the Axxess™ self-expanding bifurcation drug-eluting stent </w:t>
      </w:r>
      <w:r w:rsidRPr="00B13ECE">
        <w:rPr>
          <w:rFonts w:asciiTheme="minorHAnsi" w:hAnsiTheme="minorHAnsi" w:cstheme="minorHAnsi"/>
        </w:rPr>
        <w:t xml:space="preserve">and the development of the BioFreedom™ drug-coated stent will further reinforce our market position. </w:t>
      </w:r>
    </w:p>
    <w:p w:rsidR="00A75B2E" w:rsidRPr="00B13ECE" w:rsidRDefault="00A75B2E" w:rsidP="00B13ECE">
      <w:pPr>
        <w:autoSpaceDE w:val="0"/>
        <w:autoSpaceDN w:val="0"/>
        <w:adjustRightInd w:val="0"/>
        <w:jc w:val="both"/>
        <w:rPr>
          <w:rFonts w:asciiTheme="minorHAnsi" w:hAnsiTheme="minorHAnsi" w:cstheme="minorHAnsi"/>
        </w:rPr>
      </w:pPr>
    </w:p>
    <w:p w:rsidR="00A75B2E" w:rsidRPr="00B13ECE" w:rsidRDefault="00A75B2E" w:rsidP="00B13ECE">
      <w:pPr>
        <w:autoSpaceDE w:val="0"/>
        <w:autoSpaceDN w:val="0"/>
        <w:adjustRightInd w:val="0"/>
        <w:jc w:val="both"/>
        <w:rPr>
          <w:rFonts w:asciiTheme="minorHAnsi" w:hAnsiTheme="minorHAnsi" w:cstheme="minorHAnsi"/>
          <w:lang w:eastAsia="en-GB"/>
        </w:rPr>
      </w:pPr>
      <w:r w:rsidRPr="00B13ECE">
        <w:rPr>
          <w:rFonts w:asciiTheme="minorHAnsi" w:hAnsiTheme="minorHAnsi" w:cstheme="minorHAnsi"/>
        </w:rPr>
        <w:t>All three stents incorporate Biolimus A9™ (BA9™), an anti-restenotic drug developed and patented by Biosensors specifically for use with drug-eluting stents. Both the BioMatrix stent family and the Axxess stent feature a unique abluminal biodegradable polymer coating, which fully degrades int</w:t>
      </w:r>
      <w:r w:rsidR="000F5E12">
        <w:rPr>
          <w:rFonts w:asciiTheme="minorHAnsi" w:hAnsiTheme="minorHAnsi" w:cstheme="minorHAnsi"/>
        </w:rPr>
        <w:t>o carbon dioxide and water over</w:t>
      </w:r>
      <w:r w:rsidRPr="00B13ECE">
        <w:rPr>
          <w:rFonts w:asciiTheme="minorHAnsi" w:hAnsiTheme="minorHAnsi" w:cstheme="minorHAnsi"/>
        </w:rPr>
        <w:t xml:space="preserve"> a six-to-nine-month period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0F5E12" w:rsidRDefault="000F5E12" w:rsidP="00AE572B">
      <w:pPr>
        <w:autoSpaceDE w:val="0"/>
        <w:autoSpaceDN w:val="0"/>
        <w:adjustRightInd w:val="0"/>
        <w:rPr>
          <w:rFonts w:asciiTheme="minorHAnsi" w:hAnsiTheme="minorHAnsi" w:cstheme="minorHAnsi"/>
          <w:color w:val="000000"/>
        </w:rPr>
      </w:pPr>
    </w:p>
    <w:p w:rsidR="0081264A" w:rsidRPr="00663DC1" w:rsidRDefault="00AE572B" w:rsidP="00AE572B">
      <w:pPr>
        <w:autoSpaceDE w:val="0"/>
        <w:autoSpaceDN w:val="0"/>
        <w:adjustRightInd w:val="0"/>
        <w:rPr>
          <w:rFonts w:asciiTheme="minorHAnsi" w:hAnsiTheme="minorHAnsi" w:cstheme="minorHAnsi"/>
          <w:color w:val="000000"/>
          <w:sz w:val="18"/>
          <w:szCs w:val="18"/>
        </w:rPr>
      </w:pPr>
      <w:r w:rsidRPr="00663DC1">
        <w:rPr>
          <w:rFonts w:asciiTheme="minorHAnsi" w:hAnsiTheme="minorHAnsi" w:cstheme="minorHAnsi"/>
          <w:color w:val="000000"/>
        </w:rPr>
        <w:t xml:space="preserve">For more information, please visit </w:t>
      </w:r>
      <w:hyperlink r:id="rId11" w:history="1">
        <w:r w:rsidRPr="00663DC1">
          <w:rPr>
            <w:rStyle w:val="Hyperlink"/>
            <w:rFonts w:asciiTheme="minorHAnsi" w:hAnsiTheme="minorHAnsi" w:cstheme="minorHAnsi"/>
          </w:rPr>
          <w:t>www.biosensors.com</w:t>
        </w:r>
      </w:hyperlink>
      <w:r w:rsidRPr="00663DC1">
        <w:rPr>
          <w:rFonts w:asciiTheme="minorHAnsi" w:hAnsiTheme="minorHAnsi" w:cstheme="minorHAnsi"/>
          <w:color w:val="000000"/>
        </w:rPr>
        <w:t>.</w:t>
      </w:r>
    </w:p>
    <w:sectPr w:rsidR="0081264A" w:rsidRPr="00663DC1" w:rsidSect="0001679D">
      <w:headerReference w:type="default" r:id="rId12"/>
      <w:pgSz w:w="11909" w:h="16834" w:code="9"/>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F83" w:rsidRDefault="00572F83">
      <w:r>
        <w:separator/>
      </w:r>
    </w:p>
  </w:endnote>
  <w:endnote w:type="continuationSeparator" w:id="1">
    <w:p w:rsidR="00572F83" w:rsidRDefault="00572F8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F83" w:rsidRDefault="00572F83">
      <w:r>
        <w:separator/>
      </w:r>
    </w:p>
  </w:footnote>
  <w:footnote w:type="continuationSeparator" w:id="1">
    <w:p w:rsidR="00572F83" w:rsidRDefault="00572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E910E8" w:rsidP="004B6F1C">
    <w:pPr>
      <w:pStyle w:val="Header"/>
      <w:jc w:val="center"/>
      <w:rPr>
        <w:rFonts w:ascii="Arial" w:hAnsi="Arial" w:cs="Arial"/>
      </w:rPr>
    </w:pPr>
  </w:p>
  <w:p w:rsidR="00E910E8" w:rsidRDefault="00E91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4338"/>
  </w:hdrShapeDefaults>
  <w:footnotePr>
    <w:footnote w:id="0"/>
    <w:footnote w:id="1"/>
  </w:footnotePr>
  <w:endnotePr>
    <w:endnote w:id="0"/>
    <w:endnote w:id="1"/>
  </w:endnotePr>
  <w:compat/>
  <w:rsids>
    <w:rsidRoot w:val="00BF5FD3"/>
    <w:rsid w:val="0001679D"/>
    <w:rsid w:val="00030672"/>
    <w:rsid w:val="00046B09"/>
    <w:rsid w:val="00053503"/>
    <w:rsid w:val="00071BF7"/>
    <w:rsid w:val="00090D3B"/>
    <w:rsid w:val="00097D85"/>
    <w:rsid w:val="000F5E12"/>
    <w:rsid w:val="00167290"/>
    <w:rsid w:val="00184C73"/>
    <w:rsid w:val="001B2ACB"/>
    <w:rsid w:val="002201E9"/>
    <w:rsid w:val="00224A0E"/>
    <w:rsid w:val="002518E1"/>
    <w:rsid w:val="00257FD1"/>
    <w:rsid w:val="002631FF"/>
    <w:rsid w:val="002638FD"/>
    <w:rsid w:val="002744B2"/>
    <w:rsid w:val="00297366"/>
    <w:rsid w:val="002B5ECD"/>
    <w:rsid w:val="003017AD"/>
    <w:rsid w:val="003477A4"/>
    <w:rsid w:val="00357650"/>
    <w:rsid w:val="003835E3"/>
    <w:rsid w:val="003873D7"/>
    <w:rsid w:val="003B5323"/>
    <w:rsid w:val="003E5218"/>
    <w:rsid w:val="004126B4"/>
    <w:rsid w:val="0042217A"/>
    <w:rsid w:val="00464079"/>
    <w:rsid w:val="0049344F"/>
    <w:rsid w:val="004B6F1C"/>
    <w:rsid w:val="004D3791"/>
    <w:rsid w:val="004F5FB2"/>
    <w:rsid w:val="00535996"/>
    <w:rsid w:val="00566FE5"/>
    <w:rsid w:val="00572F83"/>
    <w:rsid w:val="0058377F"/>
    <w:rsid w:val="00584CE3"/>
    <w:rsid w:val="005A3AEE"/>
    <w:rsid w:val="005B3020"/>
    <w:rsid w:val="005C0152"/>
    <w:rsid w:val="005C57AA"/>
    <w:rsid w:val="005D67FE"/>
    <w:rsid w:val="00616ED1"/>
    <w:rsid w:val="00620653"/>
    <w:rsid w:val="00625495"/>
    <w:rsid w:val="006308F1"/>
    <w:rsid w:val="0064771E"/>
    <w:rsid w:val="00663DC1"/>
    <w:rsid w:val="007A0D8D"/>
    <w:rsid w:val="007C1513"/>
    <w:rsid w:val="007C3097"/>
    <w:rsid w:val="0081264A"/>
    <w:rsid w:val="008342DD"/>
    <w:rsid w:val="0088651C"/>
    <w:rsid w:val="0090494B"/>
    <w:rsid w:val="0092259B"/>
    <w:rsid w:val="009918D8"/>
    <w:rsid w:val="009A5124"/>
    <w:rsid w:val="009A752B"/>
    <w:rsid w:val="009C6BB0"/>
    <w:rsid w:val="00A12503"/>
    <w:rsid w:val="00A5399C"/>
    <w:rsid w:val="00A75B2E"/>
    <w:rsid w:val="00AA7582"/>
    <w:rsid w:val="00AC00DB"/>
    <w:rsid w:val="00AC22C2"/>
    <w:rsid w:val="00AC297E"/>
    <w:rsid w:val="00AE572B"/>
    <w:rsid w:val="00B03770"/>
    <w:rsid w:val="00B13ECE"/>
    <w:rsid w:val="00B37707"/>
    <w:rsid w:val="00B80A2E"/>
    <w:rsid w:val="00BF5FD3"/>
    <w:rsid w:val="00C133D0"/>
    <w:rsid w:val="00C2597B"/>
    <w:rsid w:val="00C3393F"/>
    <w:rsid w:val="00C3480A"/>
    <w:rsid w:val="00C366F5"/>
    <w:rsid w:val="00C86D63"/>
    <w:rsid w:val="00CA09C6"/>
    <w:rsid w:val="00CC3048"/>
    <w:rsid w:val="00CD6647"/>
    <w:rsid w:val="00CE4A67"/>
    <w:rsid w:val="00CE5BD2"/>
    <w:rsid w:val="00D02C2A"/>
    <w:rsid w:val="00D54C95"/>
    <w:rsid w:val="00D94818"/>
    <w:rsid w:val="00DA11C2"/>
    <w:rsid w:val="00DA5452"/>
    <w:rsid w:val="00DD5B81"/>
    <w:rsid w:val="00DE3558"/>
    <w:rsid w:val="00E05DE2"/>
    <w:rsid w:val="00E14214"/>
    <w:rsid w:val="00E23357"/>
    <w:rsid w:val="00E25DA2"/>
    <w:rsid w:val="00E872CA"/>
    <w:rsid w:val="00E910E8"/>
    <w:rsid w:val="00E91833"/>
    <w:rsid w:val="00E9354B"/>
    <w:rsid w:val="00EB7540"/>
    <w:rsid w:val="00F151F6"/>
    <w:rsid w:val="00F46FDA"/>
    <w:rsid w:val="00F97118"/>
    <w:rsid w:val="00FF4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0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3097"/>
    <w:rPr>
      <w:rFonts w:ascii="Tahoma" w:hAnsi="Tahoma" w:cs="Tahoma"/>
      <w:sz w:val="16"/>
      <w:szCs w:val="16"/>
    </w:rPr>
  </w:style>
  <w:style w:type="character" w:customStyle="1" w:styleId="BalloonTextChar">
    <w:name w:val="Balloon Text Char"/>
    <w:basedOn w:val="DefaultParagraphFont"/>
    <w:semiHidden/>
    <w:locked/>
    <w:rsid w:val="007C3097"/>
    <w:rPr>
      <w:rFonts w:cs="Times New Roman"/>
      <w:sz w:val="2"/>
    </w:rPr>
  </w:style>
  <w:style w:type="character" w:styleId="CommentReference">
    <w:name w:val="annotation reference"/>
    <w:basedOn w:val="DefaultParagraphFont"/>
    <w:semiHidden/>
    <w:rsid w:val="007C3097"/>
    <w:rPr>
      <w:rFonts w:cs="Times New Roman"/>
      <w:sz w:val="16"/>
      <w:szCs w:val="16"/>
    </w:rPr>
  </w:style>
  <w:style w:type="paragraph" w:styleId="CommentText">
    <w:name w:val="annotation text"/>
    <w:basedOn w:val="Normal"/>
    <w:semiHidden/>
    <w:rsid w:val="007C3097"/>
    <w:rPr>
      <w:sz w:val="20"/>
      <w:szCs w:val="20"/>
    </w:rPr>
  </w:style>
  <w:style w:type="character" w:customStyle="1" w:styleId="CommentTextChar">
    <w:name w:val="Comment Text Char"/>
    <w:basedOn w:val="DefaultParagraphFont"/>
    <w:semiHidden/>
    <w:locked/>
    <w:rsid w:val="007C3097"/>
    <w:rPr>
      <w:rFonts w:cs="Times New Roman"/>
    </w:rPr>
  </w:style>
  <w:style w:type="paragraph" w:styleId="CommentSubject">
    <w:name w:val="annotation subject"/>
    <w:basedOn w:val="CommentText"/>
    <w:next w:val="CommentText"/>
    <w:semiHidden/>
    <w:rsid w:val="007C3097"/>
    <w:rPr>
      <w:b/>
      <w:bCs/>
    </w:rPr>
  </w:style>
  <w:style w:type="character" w:customStyle="1" w:styleId="CommentSubjectChar">
    <w:name w:val="Comment Subject Char"/>
    <w:basedOn w:val="CommentTextChar"/>
    <w:semiHidden/>
    <w:locked/>
    <w:rsid w:val="007C3097"/>
    <w:rPr>
      <w:rFonts w:cs="Times New Roman"/>
      <w:b/>
      <w:bCs/>
    </w:rPr>
  </w:style>
  <w:style w:type="character" w:styleId="Hyperlink">
    <w:name w:val="Hyperlink"/>
    <w:basedOn w:val="DefaultParagraphFont"/>
    <w:rsid w:val="007C3097"/>
    <w:rPr>
      <w:rFonts w:cs="Times New Roman"/>
      <w:color w:val="0000FF"/>
      <w:u w:val="single"/>
    </w:rPr>
  </w:style>
  <w:style w:type="character" w:customStyle="1" w:styleId="bodytext1">
    <w:name w:val="bodytext1"/>
    <w:basedOn w:val="DefaultParagraphFont"/>
    <w:uiPriority w:val="99"/>
    <w:rsid w:val="007C3097"/>
    <w:rPr>
      <w:rFonts w:ascii="Verdana" w:hAnsi="Verdana" w:cs="Arial"/>
      <w:color w:val="000000"/>
      <w:sz w:val="18"/>
      <w:szCs w:val="18"/>
    </w:rPr>
  </w:style>
  <w:style w:type="paragraph" w:styleId="Header">
    <w:name w:val="header"/>
    <w:basedOn w:val="Normal"/>
    <w:rsid w:val="007C3097"/>
    <w:pPr>
      <w:tabs>
        <w:tab w:val="center" w:pos="4320"/>
        <w:tab w:val="right" w:pos="8640"/>
      </w:tabs>
    </w:pPr>
  </w:style>
  <w:style w:type="character" w:customStyle="1" w:styleId="HeaderChar">
    <w:name w:val="Header Char"/>
    <w:basedOn w:val="DefaultParagraphFont"/>
    <w:semiHidden/>
    <w:locked/>
    <w:rsid w:val="007C3097"/>
    <w:rPr>
      <w:rFonts w:cs="Times New Roman"/>
      <w:sz w:val="24"/>
      <w:szCs w:val="24"/>
    </w:rPr>
  </w:style>
  <w:style w:type="paragraph" w:styleId="Footer">
    <w:name w:val="footer"/>
    <w:basedOn w:val="Normal"/>
    <w:rsid w:val="007C3097"/>
    <w:pPr>
      <w:tabs>
        <w:tab w:val="center" w:pos="4320"/>
        <w:tab w:val="right" w:pos="8640"/>
      </w:tabs>
    </w:pPr>
  </w:style>
  <w:style w:type="character" w:customStyle="1" w:styleId="FooterChar">
    <w:name w:val="Footer Char"/>
    <w:basedOn w:val="DefaultParagraphFont"/>
    <w:semiHidden/>
    <w:locked/>
    <w:rsid w:val="007C3097"/>
    <w:rPr>
      <w:rFonts w:cs="Times New Roman"/>
      <w:sz w:val="24"/>
      <w:szCs w:val="24"/>
    </w:rPr>
  </w:style>
  <w:style w:type="paragraph" w:styleId="BodyText">
    <w:name w:val="Body Text"/>
    <w:basedOn w:val="Normal"/>
    <w:rsid w:val="007C3097"/>
    <w:pPr>
      <w:spacing w:line="480" w:lineRule="auto"/>
      <w:jc w:val="both"/>
    </w:pPr>
    <w:rPr>
      <w:lang w:eastAsia="es-ES"/>
    </w:rPr>
  </w:style>
  <w:style w:type="character" w:customStyle="1" w:styleId="BodyTextChar">
    <w:name w:val="Body Text Char"/>
    <w:basedOn w:val="DefaultParagraphFont"/>
    <w:semiHidden/>
    <w:locked/>
    <w:rsid w:val="007C309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locked/>
    <w:rPr>
      <w:rFonts w:cs="Times New Roman"/>
      <w:sz w:val="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cs="Times New Roman"/>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locked/>
    <w:rPr>
      <w:rFonts w:cs="Times New Roman"/>
      <w:b/>
      <w:bCs/>
    </w:rPr>
  </w:style>
  <w:style w:type="character" w:styleId="Hyperlink">
    <w:name w:val="Hyperlink"/>
    <w:basedOn w:val="DefaultParagraphFont"/>
    <w:rPr>
      <w:rFonts w:cs="Times New Roman"/>
      <w:color w:val="0000FF"/>
      <w:u w:val="single"/>
    </w:rPr>
  </w:style>
  <w:style w:type="character" w:customStyle="1" w:styleId="bodytext1">
    <w:name w:val="bodytext1"/>
    <w:basedOn w:val="DefaultParagraphFont"/>
    <w:uiPriority w:val="99"/>
    <w:rPr>
      <w:rFonts w:ascii="Verdana" w:hAnsi="Verdana" w:cs="Arial"/>
      <w:color w:val="000000"/>
      <w:sz w:val="18"/>
      <w:szCs w:val="18"/>
    </w:rPr>
  </w:style>
  <w:style w:type="paragraph" w:styleId="Header">
    <w:name w:val="header"/>
    <w:basedOn w:val="Normal"/>
    <w:pPr>
      <w:tabs>
        <w:tab w:val="center" w:pos="4320"/>
        <w:tab w:val="right" w:pos="8640"/>
      </w:tabs>
    </w:pPr>
  </w:style>
  <w:style w:type="character" w:customStyle="1" w:styleId="HeaderChar">
    <w:name w:val="Header Char"/>
    <w:basedOn w:val="DefaultParagraphFont"/>
    <w:semiHidden/>
    <w:locked/>
    <w:rPr>
      <w:rFonts w:cs="Times New Roman"/>
      <w:sz w:val="24"/>
      <w:szCs w:val="24"/>
    </w:rPr>
  </w:style>
  <w:style w:type="paragraph" w:styleId="Footer">
    <w:name w:val="footer"/>
    <w:basedOn w:val="Normal"/>
    <w:pPr>
      <w:tabs>
        <w:tab w:val="center" w:pos="4320"/>
        <w:tab w:val="right" w:pos="8640"/>
      </w:tabs>
    </w:pPr>
  </w:style>
  <w:style w:type="character" w:customStyle="1" w:styleId="FooterChar">
    <w:name w:val="Footer Char"/>
    <w:basedOn w:val="DefaultParagraphFont"/>
    <w:semiHidden/>
    <w:locked/>
    <w:rPr>
      <w:rFonts w:cs="Times New Roman"/>
      <w:sz w:val="24"/>
      <w:szCs w:val="24"/>
    </w:rPr>
  </w:style>
  <w:style w:type="paragraph" w:styleId="BodyText">
    <w:name w:val="Body Text"/>
    <w:basedOn w:val="Normal"/>
    <w:pPr>
      <w:spacing w:line="480" w:lineRule="auto"/>
      <w:jc w:val="both"/>
    </w:pPr>
    <w:rPr>
      <w:lang w:eastAsia="es-ES"/>
    </w:rPr>
  </w:style>
  <w:style w:type="character" w:customStyle="1" w:styleId="BodyTextChar">
    <w:name w:val="Body Text Char"/>
    <w:basedOn w:val="DefaultParagraphFont"/>
    <w:semiHidden/>
    <w:locked/>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sensors.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y.wong@biosensors.com" TargetMode="External"/><Relationship Id="rId4" Type="http://schemas.openxmlformats.org/officeDocument/2006/relationships/settings" Target="settings.xml"/><Relationship Id="rId9" Type="http://schemas.openxmlformats.org/officeDocument/2006/relationships/hyperlink" Target="mailto:r.kenyon@biosenso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5A2DD-2555-4E96-9D57-629D1FC5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Biosensors Biofreedom Release</vt:lpstr>
    </vt:vector>
  </TitlesOfParts>
  <Company>Biosensors</Company>
  <LinksUpToDate>false</LinksUpToDate>
  <CharactersWithSpaces>5791</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Biosensors Biofreedom Release</dc:title>
  <dc:creator>Richard Kenyon</dc:creator>
  <cp:lastModifiedBy>Lydia Kenyon</cp:lastModifiedBy>
  <cp:revision>2</cp:revision>
  <cp:lastPrinted>2011-05-16T00:27:00Z</cp:lastPrinted>
  <dcterms:created xsi:type="dcterms:W3CDTF">2011-06-06T10:17:00Z</dcterms:created>
  <dcterms:modified xsi:type="dcterms:W3CDTF">2011-06-06T10:17:00Z</dcterms:modified>
</cp:coreProperties>
</file>