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Pr="000B0266" w:rsidRDefault="00AE572B" w:rsidP="00AE5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0B0266">
        <w:rPr>
          <w:rFonts w:ascii="Calibri" w:hAnsi="Calibri" w:cs="Calibri"/>
          <w:b/>
          <w:bCs/>
          <w:color w:val="000000"/>
          <w:sz w:val="40"/>
          <w:szCs w:val="40"/>
        </w:rPr>
        <w:t>NEWS RELEASE</w:t>
      </w:r>
    </w:p>
    <w:p w:rsidR="00AE572B" w:rsidRDefault="00AE572B" w:rsidP="00AE572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42EF4" w:rsidRPr="00EF4F4F" w:rsidRDefault="00A42EF4" w:rsidP="00A42EF4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EMBARGOED UNTIL 12:00 </w:t>
      </w:r>
      <w:r w:rsidRPr="00E80675">
        <w:rPr>
          <w:rFonts w:ascii="Calibri" w:hAnsi="Calibri" w:cs="Arial"/>
          <w:b/>
          <w:bCs/>
          <w:sz w:val="28"/>
          <w:szCs w:val="28"/>
        </w:rPr>
        <w:t xml:space="preserve">PST </w:t>
      </w:r>
      <w:r>
        <w:rPr>
          <w:rFonts w:ascii="Calibri" w:hAnsi="Calibri" w:cs="Arial"/>
          <w:b/>
          <w:bCs/>
          <w:sz w:val="28"/>
          <w:szCs w:val="28"/>
        </w:rPr>
        <w:t>23 SEPTEMBER 2009</w:t>
      </w:r>
    </w:p>
    <w:p w:rsidR="00A42EF4" w:rsidRDefault="00A42EF4" w:rsidP="00A42EF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42EF4" w:rsidRDefault="00A42EF4" w:rsidP="00A42EF4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LEADERS Two-Year Results Indicate Improved Safety and Efficacy of Biodegradable Polymer Technology over Conventional Durable Polymers</w:t>
      </w:r>
    </w:p>
    <w:p w:rsidR="00A42EF4" w:rsidRDefault="00A42EF4" w:rsidP="00A42EF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42EF4" w:rsidRPr="00343451" w:rsidRDefault="00A42EF4" w:rsidP="00A42EF4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San Francisco, USA, 23 September 2009 – </w:t>
      </w:r>
      <w:r>
        <w:rPr>
          <w:rFonts w:ascii="Calibri" w:hAnsi="Calibri" w:cs="Arial"/>
          <w:bCs/>
        </w:rPr>
        <w:t>Biosensors International Group, Ltd (“Biosensors”, “Company”, BIG:SP) today announced t</w:t>
      </w:r>
      <w:r>
        <w:rPr>
          <w:rFonts w:ascii="Calibri" w:hAnsi="Calibri" w:cs="Arial"/>
        </w:rPr>
        <w:t xml:space="preserve">he two-year results of the LEADERS trial, which </w:t>
      </w:r>
      <w:r>
        <w:rPr>
          <w:rFonts w:ascii="Calibri" w:hAnsi="Calibri" w:cs="Arial"/>
          <w:bCs/>
        </w:rPr>
        <w:t xml:space="preserve">showed </w:t>
      </w:r>
      <w:r>
        <w:rPr>
          <w:rFonts w:ascii="Calibri" w:hAnsi="Calibri" w:cs="Arial"/>
        </w:rPr>
        <w:t xml:space="preserve">an increasing trend towards a safety benefit for </w:t>
      </w:r>
      <w:r>
        <w:rPr>
          <w:rFonts w:ascii="Calibri" w:hAnsi="Calibri" w:cs="Arial"/>
          <w:bCs/>
        </w:rPr>
        <w:t xml:space="preserve">the Biosensors Biolimus A9™-eluting stent with abluminal biodegradable polymer (“BES”) </w:t>
      </w:r>
      <w:r>
        <w:rPr>
          <w:rFonts w:ascii="Calibri" w:hAnsi="Calibri" w:cs="Arial"/>
        </w:rPr>
        <w:t xml:space="preserve">compared to Johnson &amp; Johnson’s sirolimus-eluting stent with a durable polymer (“SES”). Results were presented by Professor Volker Klauss as part of the Late Breaking Trial session </w:t>
      </w:r>
      <w:r w:rsidRPr="00343451">
        <w:rPr>
          <w:rFonts w:ascii="Calibri" w:eastAsia="MS Mincho" w:hAnsi="Calibri" w:cs="Arial"/>
          <w:iCs/>
          <w:color w:val="000000"/>
          <w:lang w:val="en-GB" w:eastAsia="ja-JP"/>
        </w:rPr>
        <w:t>at the 21st annual Transcatheter Cardiovascular Therapeutics (TCT)</w:t>
      </w:r>
      <w:r>
        <w:rPr>
          <w:rFonts w:ascii="Calibri" w:eastAsia="MS Mincho" w:hAnsi="Calibri" w:cs="Arial"/>
          <w:iCs/>
          <w:color w:val="000000"/>
          <w:lang w:val="en-GB" w:eastAsia="ja-JP"/>
        </w:rPr>
        <w:t xml:space="preserve"> </w:t>
      </w:r>
      <w:r w:rsidRPr="00343451">
        <w:rPr>
          <w:rFonts w:ascii="Calibri" w:eastAsia="MS Mincho" w:hAnsi="Calibri" w:cs="Arial"/>
          <w:iCs/>
          <w:color w:val="000000"/>
          <w:lang w:val="en-GB" w:eastAsia="ja-JP"/>
        </w:rPr>
        <w:t>scientific</w:t>
      </w:r>
      <w:r>
        <w:rPr>
          <w:rFonts w:ascii="Calibri" w:hAnsi="Calibri" w:cs="Arial"/>
        </w:rPr>
        <w:t xml:space="preserve"> </w:t>
      </w:r>
      <w:r w:rsidRPr="00343451">
        <w:rPr>
          <w:rFonts w:ascii="Calibri" w:eastAsia="MS Mincho" w:hAnsi="Calibri" w:cs="Arial"/>
          <w:iCs/>
          <w:color w:val="000000"/>
          <w:lang w:val="en-GB" w:eastAsia="ja-JP"/>
        </w:rPr>
        <w:t>symposium, sponsored by the Cardiovascular Research Foundation</w:t>
      </w:r>
      <w:r>
        <w:rPr>
          <w:rFonts w:ascii="Calibri" w:eastAsia="MS Mincho" w:hAnsi="Calibri" w:cs="Arial"/>
          <w:iCs/>
          <w:color w:val="000000"/>
          <w:lang w:val="en-GB" w:eastAsia="ja-JP"/>
        </w:rPr>
        <w:t>.</w:t>
      </w:r>
    </w:p>
    <w:p w:rsidR="00A42EF4" w:rsidRDefault="00A42EF4" w:rsidP="00A42EF4">
      <w:pPr>
        <w:pStyle w:val="BodyText"/>
        <w:keepLines/>
        <w:spacing w:line="240" w:lineRule="auto"/>
        <w:rPr>
          <w:rFonts w:ascii="Calibri" w:hAnsi="Calibri" w:cs="Arial"/>
          <w:bCs/>
        </w:rPr>
      </w:pPr>
    </w:p>
    <w:p w:rsidR="00A42EF4" w:rsidRDefault="00A42EF4" w:rsidP="00A42EF4">
      <w:pPr>
        <w:pStyle w:val="BodyText"/>
        <w:keepLines/>
        <w:spacing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“These additional follow-up results from LEADERS confirm that the Biosensors Biolimus A9-eluting stent is safe and effective two years after implantation in an all-comers population reflecting patients we treat in our routine clinical practice”, commented LEADERS Principal Investigator Professor Stephan Windecker, </w:t>
      </w:r>
      <w:smartTag w:uri="urn:schemas-microsoft-com:office:smarttags" w:element="PlaceType">
        <w:r>
          <w:rPr>
            <w:rFonts w:ascii="Calibri" w:hAnsi="Calibri" w:cs="Arial"/>
            <w:bCs/>
          </w:rPr>
          <w:t>University</w:t>
        </w:r>
      </w:smartTag>
      <w:r>
        <w:rPr>
          <w:rFonts w:ascii="Calibri" w:hAnsi="Calibri" w:cs="Arial"/>
          <w:bCs/>
        </w:rPr>
        <w:t xml:space="preserve"> </w:t>
      </w:r>
      <w:smartTag w:uri="urn:schemas-microsoft-com:office:smarttags" w:element="PlaceType">
        <w:r>
          <w:rPr>
            <w:rFonts w:ascii="Calibri" w:hAnsi="Calibri" w:cs="Arial"/>
            <w:bCs/>
          </w:rPr>
          <w:t>Hospital</w:t>
        </w:r>
      </w:smartTag>
      <w:r>
        <w:rPr>
          <w:rFonts w:ascii="Calibri" w:hAnsi="Calibri" w:cs="Arial"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Calibri" w:hAnsi="Calibri" w:cs="Arial"/>
              <w:bCs/>
            </w:rPr>
            <w:t>Bern</w:t>
          </w:r>
        </w:smartTag>
        <w:r>
          <w:rPr>
            <w:rFonts w:ascii="Calibri" w:hAnsi="Calibri" w:cs="Arial"/>
            <w:bCs/>
          </w:rPr>
          <w:t xml:space="preserve">, </w:t>
        </w:r>
        <w:smartTag w:uri="urn:schemas-microsoft-com:office:smarttags" w:element="country-region">
          <w:r>
            <w:rPr>
              <w:rFonts w:ascii="Calibri" w:hAnsi="Calibri" w:cs="Arial"/>
              <w:bCs/>
            </w:rPr>
            <w:t>Switzerland</w:t>
          </w:r>
        </w:smartTag>
      </w:smartTag>
      <w:r>
        <w:rPr>
          <w:rFonts w:ascii="Calibri" w:hAnsi="Calibri" w:cs="Arial"/>
          <w:bCs/>
        </w:rPr>
        <w:t xml:space="preserve">. </w:t>
      </w:r>
    </w:p>
    <w:p w:rsidR="00A42EF4" w:rsidRDefault="00A42EF4" w:rsidP="00A42EF4">
      <w:pPr>
        <w:jc w:val="both"/>
        <w:rPr>
          <w:rFonts w:ascii="Calibri" w:hAnsi="Calibri" w:cs="Arial"/>
          <w:iCs/>
        </w:rPr>
      </w:pPr>
    </w:p>
    <w:p w:rsidR="00A42EF4" w:rsidRPr="00E80675" w:rsidRDefault="00A42EF4" w:rsidP="00A42EF4">
      <w:pPr>
        <w:jc w:val="both"/>
        <w:rPr>
          <w:rFonts w:ascii="Calibri" w:hAnsi="Calibri" w:cs="Arial"/>
        </w:rPr>
      </w:pPr>
      <w:r>
        <w:rPr>
          <w:rFonts w:ascii="Calibri" w:hAnsi="Calibri" w:cs="Arial"/>
          <w:iCs/>
        </w:rPr>
        <w:t xml:space="preserve">In the overall study </w:t>
      </w:r>
      <w:r w:rsidRPr="00E80675">
        <w:rPr>
          <w:rFonts w:ascii="Calibri" w:hAnsi="Calibri" w:cs="Arial"/>
          <w:iCs/>
        </w:rPr>
        <w:t>population there were similar outcomes for BES and SES</w:t>
      </w:r>
      <w:r>
        <w:rPr>
          <w:rFonts w:ascii="Calibri" w:hAnsi="Calibri" w:cs="Arial"/>
          <w:iCs/>
        </w:rPr>
        <w:t xml:space="preserve">, with an increasing </w:t>
      </w:r>
      <w:r w:rsidRPr="00E80675">
        <w:rPr>
          <w:rFonts w:ascii="Calibri" w:hAnsi="Calibri" w:cs="Arial"/>
          <w:iCs/>
        </w:rPr>
        <w:t xml:space="preserve">advantage observed </w:t>
      </w:r>
      <w:r>
        <w:rPr>
          <w:rFonts w:ascii="Calibri" w:hAnsi="Calibri" w:cs="Arial"/>
          <w:iCs/>
        </w:rPr>
        <w:t xml:space="preserve">for BES </w:t>
      </w:r>
      <w:r w:rsidRPr="00E80675">
        <w:rPr>
          <w:rFonts w:ascii="Calibri" w:hAnsi="Calibri" w:cs="Arial"/>
          <w:iCs/>
        </w:rPr>
        <w:t xml:space="preserve">in </w:t>
      </w:r>
      <w:r>
        <w:rPr>
          <w:rFonts w:ascii="Calibri" w:hAnsi="Calibri" w:cs="Arial"/>
          <w:iCs/>
        </w:rPr>
        <w:t>both Major Adverse Cardiac Events (“</w:t>
      </w:r>
      <w:r w:rsidRPr="00E80675">
        <w:rPr>
          <w:rFonts w:ascii="Calibri" w:hAnsi="Calibri" w:cs="Arial"/>
        </w:rPr>
        <w:t>MACE</w:t>
      </w:r>
      <w:r>
        <w:rPr>
          <w:rFonts w:ascii="Calibri" w:hAnsi="Calibri" w:cs="Arial"/>
        </w:rPr>
        <w:t>”)</w:t>
      </w:r>
      <w:r w:rsidRPr="00E8067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E80675">
        <w:rPr>
          <w:rFonts w:ascii="Calibri" w:hAnsi="Calibri" w:cs="Arial"/>
        </w:rPr>
        <w:t>BES:</w:t>
      </w:r>
      <w:r>
        <w:rPr>
          <w:rFonts w:ascii="Calibri" w:hAnsi="Calibri" w:cs="Arial"/>
        </w:rPr>
        <w:t xml:space="preserve"> </w:t>
      </w:r>
      <w:r w:rsidRPr="00E80675">
        <w:rPr>
          <w:rFonts w:ascii="Calibri" w:hAnsi="Calibri" w:cs="Arial"/>
        </w:rPr>
        <w:t>13% vs</w:t>
      </w:r>
      <w:r>
        <w:rPr>
          <w:rFonts w:ascii="Calibri" w:hAnsi="Calibri" w:cs="Arial"/>
        </w:rPr>
        <w:t>.</w:t>
      </w:r>
      <w:r w:rsidRPr="00E80675">
        <w:rPr>
          <w:rFonts w:ascii="Calibri" w:hAnsi="Calibri" w:cs="Arial"/>
        </w:rPr>
        <w:t xml:space="preserve"> SES: 15.4% </w:t>
      </w:r>
      <w:r>
        <w:rPr>
          <w:rFonts w:ascii="Calibri" w:hAnsi="Calibri" w:cs="Arial"/>
          <w:iCs/>
        </w:rPr>
        <w:t>p</w:t>
      </w:r>
      <w:r w:rsidRPr="00E80675">
        <w:rPr>
          <w:rFonts w:ascii="Calibri" w:hAnsi="Calibri" w:cs="Arial"/>
          <w:iCs/>
        </w:rPr>
        <w:t>=</w:t>
      </w:r>
      <w:r w:rsidRPr="00E80675">
        <w:rPr>
          <w:rFonts w:ascii="Calibri" w:hAnsi="Calibri" w:cs="Arial"/>
        </w:rPr>
        <w:t>0.18</w:t>
      </w:r>
      <w:r>
        <w:rPr>
          <w:rFonts w:ascii="Calibri" w:hAnsi="Calibri" w:cs="Arial"/>
        </w:rPr>
        <w:t xml:space="preserve">) and </w:t>
      </w:r>
      <w:r w:rsidRPr="00E80675">
        <w:rPr>
          <w:rFonts w:ascii="Calibri" w:hAnsi="Calibri" w:cs="Arial"/>
        </w:rPr>
        <w:t>Cardiac Death/M</w:t>
      </w:r>
      <w:r>
        <w:rPr>
          <w:rFonts w:ascii="Calibri" w:hAnsi="Calibri" w:cs="Arial"/>
        </w:rPr>
        <w:t xml:space="preserve">yocardial </w:t>
      </w:r>
      <w:r w:rsidRPr="00E80675">
        <w:rPr>
          <w:rFonts w:ascii="Calibri" w:hAnsi="Calibri" w:cs="Arial"/>
        </w:rPr>
        <w:t>I</w:t>
      </w:r>
      <w:r>
        <w:rPr>
          <w:rFonts w:ascii="Calibri" w:hAnsi="Calibri" w:cs="Arial"/>
        </w:rPr>
        <w:t>nfarction</w:t>
      </w:r>
      <w:r w:rsidRPr="00E8067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E80675">
        <w:rPr>
          <w:rFonts w:ascii="Calibri" w:hAnsi="Calibri" w:cs="Arial"/>
        </w:rPr>
        <w:t xml:space="preserve">BES: </w:t>
      </w:r>
      <w:r>
        <w:rPr>
          <w:rFonts w:ascii="Calibri" w:hAnsi="Calibri" w:cs="Arial"/>
        </w:rPr>
        <w:t>8.3</w:t>
      </w:r>
      <w:r w:rsidRPr="00E80675">
        <w:rPr>
          <w:rFonts w:ascii="Calibri" w:hAnsi="Calibri" w:cs="Arial"/>
        </w:rPr>
        <w:t>% vs</w:t>
      </w:r>
      <w:r>
        <w:rPr>
          <w:rFonts w:ascii="Calibri" w:hAnsi="Calibri" w:cs="Arial"/>
        </w:rPr>
        <w:t>.</w:t>
      </w:r>
      <w:r w:rsidRPr="00E80675">
        <w:rPr>
          <w:rFonts w:ascii="Calibri" w:hAnsi="Calibri" w:cs="Arial"/>
        </w:rPr>
        <w:t xml:space="preserve"> SES: </w:t>
      </w:r>
      <w:r>
        <w:rPr>
          <w:rFonts w:ascii="Calibri" w:hAnsi="Calibri" w:cs="Arial"/>
        </w:rPr>
        <w:t>9.1</w:t>
      </w:r>
      <w:r w:rsidRPr="00E80675">
        <w:rPr>
          <w:rFonts w:ascii="Calibri" w:hAnsi="Calibri" w:cs="Arial"/>
        </w:rPr>
        <w:t xml:space="preserve">% </w:t>
      </w:r>
      <w:r>
        <w:rPr>
          <w:rFonts w:ascii="Calibri" w:hAnsi="Calibri" w:cs="Arial"/>
          <w:iCs/>
        </w:rPr>
        <w:t>p</w:t>
      </w:r>
      <w:r w:rsidRPr="00E80675">
        <w:rPr>
          <w:rFonts w:ascii="Calibri" w:hAnsi="Calibri" w:cs="Arial"/>
          <w:iCs/>
        </w:rPr>
        <w:t>=</w:t>
      </w:r>
      <w:r w:rsidRPr="00E80675">
        <w:rPr>
          <w:rFonts w:ascii="Calibri" w:hAnsi="Calibri" w:cs="Arial"/>
        </w:rPr>
        <w:t>0.59)</w:t>
      </w:r>
      <w:r>
        <w:rPr>
          <w:rFonts w:ascii="Calibri" w:hAnsi="Calibri" w:cs="Arial"/>
        </w:rPr>
        <w:t xml:space="preserve"> compared with both nine and 12-month results.</w:t>
      </w:r>
      <w:r w:rsidRPr="00E8067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The differences were not statistically significant. In the high risk sub-group of STEMI patients (ST Elevation Myocardial Infarction), a statistically significant improved</w:t>
      </w:r>
      <w:r w:rsidRPr="00E80675">
        <w:rPr>
          <w:rFonts w:ascii="Calibri" w:hAnsi="Calibri" w:cs="Arial"/>
        </w:rPr>
        <w:t xml:space="preserve"> MACE</w:t>
      </w:r>
      <w:r>
        <w:rPr>
          <w:rFonts w:ascii="Calibri" w:hAnsi="Calibri" w:cs="Arial"/>
        </w:rPr>
        <w:t xml:space="preserve"> rate</w:t>
      </w:r>
      <w:r w:rsidRPr="00E80675">
        <w:rPr>
          <w:rFonts w:ascii="Calibri" w:hAnsi="Calibri" w:cs="Arial"/>
        </w:rPr>
        <w:t xml:space="preserve"> </w:t>
      </w:r>
      <w:r>
        <w:rPr>
          <w:rFonts w:ascii="Calibri" w:hAnsi="Calibri" w:cs="Arial"/>
          <w:iCs/>
        </w:rPr>
        <w:t xml:space="preserve">was demonstrated </w:t>
      </w:r>
      <w:r w:rsidRPr="00E80675">
        <w:rPr>
          <w:rFonts w:ascii="Calibri" w:hAnsi="Calibri" w:cs="Arial"/>
        </w:rPr>
        <w:t xml:space="preserve">with BES compared to SES </w:t>
      </w:r>
      <w:r w:rsidRPr="00E80675">
        <w:rPr>
          <w:rFonts w:ascii="Calibri" w:hAnsi="Calibri" w:cs="Arial"/>
          <w:iCs/>
        </w:rPr>
        <w:t>(8.1% vs</w:t>
      </w:r>
      <w:r>
        <w:rPr>
          <w:rFonts w:ascii="Calibri" w:hAnsi="Calibri" w:cs="Arial"/>
          <w:iCs/>
        </w:rPr>
        <w:t>.</w:t>
      </w:r>
      <w:r w:rsidRPr="00E80675">
        <w:rPr>
          <w:rFonts w:ascii="Calibri" w:hAnsi="Calibri" w:cs="Arial"/>
          <w:iCs/>
        </w:rPr>
        <w:t xml:space="preserve"> 19.3% </w:t>
      </w:r>
      <w:r>
        <w:rPr>
          <w:rFonts w:ascii="Calibri" w:hAnsi="Calibri" w:cs="Arial"/>
          <w:iCs/>
        </w:rPr>
        <w:t>p</w:t>
      </w:r>
      <w:r w:rsidRPr="00E80675">
        <w:rPr>
          <w:rFonts w:ascii="Calibri" w:hAnsi="Calibri" w:cs="Arial"/>
        </w:rPr>
        <w:t>&lt;0.01</w:t>
      </w:r>
      <w:r w:rsidRPr="00E80675">
        <w:rPr>
          <w:rFonts w:ascii="Calibri" w:hAnsi="Calibri" w:cs="Arial"/>
          <w:iCs/>
        </w:rPr>
        <w:t>)</w:t>
      </w:r>
      <w:r>
        <w:rPr>
          <w:rFonts w:ascii="Calibri" w:hAnsi="Calibri" w:cs="Arial"/>
          <w:iCs/>
        </w:rPr>
        <w:t>.</w:t>
      </w:r>
    </w:p>
    <w:p w:rsidR="00A42EF4" w:rsidRPr="00E80675" w:rsidRDefault="00A42EF4" w:rsidP="00A42EF4">
      <w:pPr>
        <w:jc w:val="both"/>
        <w:rPr>
          <w:rFonts w:ascii="Calibri" w:hAnsi="Calibri" w:cs="Arial"/>
          <w:iCs/>
        </w:rPr>
      </w:pPr>
    </w:p>
    <w:p w:rsidR="00A42EF4" w:rsidRDefault="00A42EF4" w:rsidP="00A42EF4">
      <w:pPr>
        <w:jc w:val="both"/>
        <w:rPr>
          <w:rFonts w:ascii="Calibri" w:hAnsi="Calibri" w:cs="Arial"/>
        </w:rPr>
      </w:pPr>
      <w:r w:rsidRPr="00BF2215">
        <w:rPr>
          <w:rFonts w:ascii="Calibri" w:hAnsi="Calibri" w:cs="Arial"/>
          <w:iCs/>
        </w:rPr>
        <w:t xml:space="preserve">Although this was an all-comers study, </w:t>
      </w:r>
      <w:r>
        <w:rPr>
          <w:rFonts w:ascii="Calibri" w:hAnsi="Calibri" w:cs="Arial"/>
          <w:iCs/>
        </w:rPr>
        <w:t xml:space="preserve">occurrence of </w:t>
      </w:r>
      <w:r w:rsidRPr="00BF2215">
        <w:rPr>
          <w:rFonts w:ascii="Calibri" w:hAnsi="Calibri" w:cs="Arial"/>
          <w:iCs/>
        </w:rPr>
        <w:t>very late stent thrombosis events w</w:t>
      </w:r>
      <w:r>
        <w:rPr>
          <w:rFonts w:ascii="Calibri" w:hAnsi="Calibri" w:cs="Arial"/>
          <w:iCs/>
        </w:rPr>
        <w:t>as</w:t>
      </w:r>
      <w:r w:rsidRPr="00BF2215">
        <w:rPr>
          <w:rFonts w:ascii="Calibri" w:hAnsi="Calibri" w:cs="Arial"/>
          <w:iCs/>
        </w:rPr>
        <w:t xml:space="preserve"> rare (BES 0.2% vs</w:t>
      </w:r>
      <w:r>
        <w:rPr>
          <w:rFonts w:ascii="Calibri" w:hAnsi="Calibri" w:cs="Arial"/>
          <w:iCs/>
        </w:rPr>
        <w:t>.</w:t>
      </w:r>
      <w:r w:rsidRPr="00BF2215">
        <w:rPr>
          <w:rFonts w:ascii="Calibri" w:hAnsi="Calibri" w:cs="Arial"/>
          <w:iCs/>
        </w:rPr>
        <w:t xml:space="preserve"> SES 0.5% </w:t>
      </w:r>
      <w:r>
        <w:rPr>
          <w:rFonts w:ascii="Calibri" w:hAnsi="Calibri" w:cs="Arial"/>
          <w:iCs/>
        </w:rPr>
        <w:t>p</w:t>
      </w:r>
      <w:r w:rsidRPr="00E80675">
        <w:rPr>
          <w:rFonts w:ascii="Calibri" w:hAnsi="Calibri" w:cs="Arial"/>
          <w:iCs/>
        </w:rPr>
        <w:t>=</w:t>
      </w:r>
      <w:r w:rsidRPr="00BF2215">
        <w:rPr>
          <w:rFonts w:ascii="Calibri" w:hAnsi="Calibri" w:cs="Arial"/>
          <w:iCs/>
        </w:rPr>
        <w:t>0.73)</w:t>
      </w:r>
      <w:r>
        <w:rPr>
          <w:rFonts w:ascii="Calibri" w:hAnsi="Calibri" w:cs="Arial"/>
          <w:iCs/>
        </w:rPr>
        <w:t xml:space="preserve">. In the </w:t>
      </w:r>
      <w:r w:rsidRPr="00BF2215">
        <w:rPr>
          <w:rFonts w:ascii="Calibri" w:hAnsi="Calibri" w:cs="Arial"/>
          <w:iCs/>
        </w:rPr>
        <w:t>BES</w:t>
      </w:r>
      <w:r>
        <w:rPr>
          <w:rFonts w:ascii="Calibri" w:hAnsi="Calibri" w:cs="Arial"/>
          <w:iCs/>
        </w:rPr>
        <w:t xml:space="preserve"> group, the two </w:t>
      </w:r>
      <w:r w:rsidRPr="00BF2215">
        <w:rPr>
          <w:rFonts w:ascii="Calibri" w:hAnsi="Calibri" w:cs="Arial"/>
          <w:iCs/>
        </w:rPr>
        <w:t xml:space="preserve">events </w:t>
      </w:r>
      <w:r>
        <w:rPr>
          <w:rFonts w:ascii="Calibri" w:hAnsi="Calibri" w:cs="Arial"/>
          <w:iCs/>
        </w:rPr>
        <w:t xml:space="preserve">observed </w:t>
      </w:r>
      <w:r w:rsidRPr="00BF2215">
        <w:rPr>
          <w:rFonts w:ascii="Calibri" w:hAnsi="Calibri" w:cs="Arial"/>
          <w:iCs/>
        </w:rPr>
        <w:t xml:space="preserve">were limited to </w:t>
      </w:r>
      <w:r>
        <w:rPr>
          <w:rFonts w:ascii="Calibri" w:hAnsi="Calibri" w:cs="Arial"/>
          <w:iCs/>
        </w:rPr>
        <w:t xml:space="preserve">patients with </w:t>
      </w:r>
      <w:r w:rsidRPr="00BF2215">
        <w:rPr>
          <w:rFonts w:ascii="Calibri" w:hAnsi="Calibri" w:cs="Arial"/>
          <w:iCs/>
        </w:rPr>
        <w:t>S</w:t>
      </w:r>
      <w:r>
        <w:rPr>
          <w:rFonts w:ascii="Calibri" w:hAnsi="Calibri" w:cs="Arial"/>
          <w:iCs/>
        </w:rPr>
        <w:t xml:space="preserve">aphenous </w:t>
      </w:r>
      <w:r w:rsidRPr="00BF2215">
        <w:rPr>
          <w:rFonts w:ascii="Calibri" w:hAnsi="Calibri" w:cs="Arial"/>
          <w:iCs/>
        </w:rPr>
        <w:t>V</w:t>
      </w:r>
      <w:r>
        <w:rPr>
          <w:rFonts w:ascii="Calibri" w:hAnsi="Calibri" w:cs="Arial"/>
          <w:iCs/>
        </w:rPr>
        <w:t xml:space="preserve">ein </w:t>
      </w:r>
      <w:r w:rsidRPr="00BF2215">
        <w:rPr>
          <w:rFonts w:ascii="Calibri" w:hAnsi="Calibri" w:cs="Arial"/>
          <w:iCs/>
        </w:rPr>
        <w:t>G</w:t>
      </w:r>
      <w:r>
        <w:rPr>
          <w:rFonts w:ascii="Calibri" w:hAnsi="Calibri" w:cs="Arial"/>
          <w:iCs/>
        </w:rPr>
        <w:t>rafts (SVG), who are traditionally excluded from drug-eluting stent trials.  Notably, there</w:t>
      </w:r>
      <w:r w:rsidRPr="00BF2215">
        <w:rPr>
          <w:rFonts w:ascii="Calibri" w:hAnsi="Calibri" w:cs="Arial"/>
          <w:iCs/>
        </w:rPr>
        <w:t xml:space="preserve"> were no </w:t>
      </w:r>
      <w:r>
        <w:rPr>
          <w:rFonts w:ascii="Calibri" w:hAnsi="Calibri" w:cs="Arial"/>
          <w:iCs/>
        </w:rPr>
        <w:t xml:space="preserve">very late stent thrombosis </w:t>
      </w:r>
      <w:r w:rsidRPr="00BF2215">
        <w:rPr>
          <w:rFonts w:ascii="Calibri" w:hAnsi="Calibri" w:cs="Arial"/>
          <w:iCs/>
        </w:rPr>
        <w:t xml:space="preserve">events in BES patients </w:t>
      </w:r>
      <w:r>
        <w:rPr>
          <w:rFonts w:ascii="Calibri" w:hAnsi="Calibri" w:cs="Arial"/>
          <w:iCs/>
        </w:rPr>
        <w:t>after</w:t>
      </w:r>
      <w:r w:rsidRPr="00BF2215">
        <w:rPr>
          <w:rFonts w:ascii="Calibri" w:hAnsi="Calibri" w:cs="Arial"/>
          <w:iCs/>
        </w:rPr>
        <w:t xml:space="preserve"> discontinuation of </w:t>
      </w:r>
      <w:r>
        <w:rPr>
          <w:rFonts w:ascii="Calibri" w:hAnsi="Calibri" w:cs="Arial"/>
          <w:iCs/>
        </w:rPr>
        <w:t>dual anti-platelet therapy (</w:t>
      </w:r>
      <w:r w:rsidRPr="00BF2215">
        <w:rPr>
          <w:rFonts w:ascii="Calibri" w:hAnsi="Calibri" w:cs="Arial"/>
          <w:iCs/>
        </w:rPr>
        <w:t>DAPT</w:t>
      </w:r>
      <w:r>
        <w:rPr>
          <w:rFonts w:ascii="Calibri" w:hAnsi="Calibri" w:cs="Arial"/>
          <w:iCs/>
        </w:rPr>
        <w:t>)</w:t>
      </w:r>
      <w:r>
        <w:rPr>
          <w:rFonts w:ascii="Calibri" w:hAnsi="Calibri" w:cs="Arial"/>
        </w:rPr>
        <w:t>.</w:t>
      </w:r>
    </w:p>
    <w:p w:rsidR="00A42EF4" w:rsidRDefault="00A42EF4" w:rsidP="00A42EF4">
      <w:pPr>
        <w:jc w:val="both"/>
        <w:rPr>
          <w:rFonts w:ascii="Calibri" w:hAnsi="Calibri" w:cs="Arial"/>
        </w:rPr>
      </w:pPr>
    </w:p>
    <w:p w:rsidR="00A42EF4" w:rsidRDefault="00A42EF4" w:rsidP="00A42EF4">
      <w:pPr>
        <w:pStyle w:val="BodyText"/>
        <w:keepLines/>
        <w:spacing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“We are extremely pleased with these long-term results”, concluded Michael Kleine, President &amp; CEO of Biosensors. “They confirm that our drug-eluting stent technology, with its unique combination of anti-restenotic drug and abluminal biodegradable polymer, has created a new industry standard.”</w:t>
      </w:r>
    </w:p>
    <w:p w:rsidR="00A42EF4" w:rsidRDefault="00A42EF4" w:rsidP="00A42EF4">
      <w:pPr>
        <w:spacing w:after="120"/>
        <w:ind w:right="29"/>
        <w:jc w:val="both"/>
        <w:rPr>
          <w:rFonts w:ascii="Calibri" w:hAnsi="Calibri" w:cs="Arial"/>
        </w:rPr>
      </w:pPr>
    </w:p>
    <w:p w:rsidR="00A42EF4" w:rsidRDefault="00A42EF4" w:rsidP="00A42EF4">
      <w:pPr>
        <w:spacing w:after="120"/>
        <w:jc w:val="right"/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More/…</w:t>
      </w:r>
    </w:p>
    <w:p w:rsidR="00A42EF4" w:rsidRDefault="00A42EF4" w:rsidP="00A42EF4">
      <w:pPr>
        <w:spacing w:after="120"/>
        <w:ind w:right="2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LEADERS </w:t>
      </w:r>
      <w:r>
        <w:rPr>
          <w:rFonts w:ascii="Calibri" w:hAnsi="Calibri" w:cs="Arial"/>
          <w:bCs/>
        </w:rPr>
        <w:t>(</w:t>
      </w:r>
      <w:r>
        <w:rPr>
          <w:rFonts w:ascii="Calibri" w:hAnsi="Calibri" w:cs="Arial"/>
          <w:b/>
          <w:bCs/>
        </w:rPr>
        <w:t>L</w:t>
      </w:r>
      <w:r>
        <w:rPr>
          <w:rFonts w:ascii="Calibri" w:hAnsi="Calibri" w:cs="Arial"/>
          <w:bCs/>
        </w:rPr>
        <w:t xml:space="preserve">imus </w:t>
      </w:r>
      <w:r>
        <w:rPr>
          <w:rFonts w:ascii="Calibri" w:hAnsi="Calibri" w:cs="Arial"/>
          <w:b/>
          <w:bCs/>
        </w:rPr>
        <w:t>E</w:t>
      </w:r>
      <w:r>
        <w:rPr>
          <w:rFonts w:ascii="Calibri" w:hAnsi="Calibri" w:cs="Arial"/>
          <w:bCs/>
        </w:rPr>
        <w:t xml:space="preserve">luted from </w:t>
      </w:r>
      <w:r>
        <w:rPr>
          <w:rFonts w:ascii="Calibri" w:hAnsi="Calibri" w:cs="Arial"/>
          <w:b/>
          <w:bCs/>
        </w:rPr>
        <w:t>A</w: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/>
          <w:bCs/>
        </w:rPr>
        <w:t>D</w:t>
      </w:r>
      <w:r>
        <w:rPr>
          <w:rFonts w:ascii="Calibri" w:hAnsi="Calibri" w:cs="Arial"/>
          <w:bCs/>
        </w:rPr>
        <w:t xml:space="preserve">urable versus </w:t>
      </w:r>
      <w:r>
        <w:rPr>
          <w:rFonts w:ascii="Calibri" w:hAnsi="Calibri" w:cs="Arial"/>
          <w:b/>
          <w:bCs/>
        </w:rPr>
        <w:t>ER</w:t>
      </w:r>
      <w:r>
        <w:rPr>
          <w:rFonts w:ascii="Calibri" w:hAnsi="Calibri" w:cs="Arial"/>
          <w:bCs/>
        </w:rPr>
        <w:t xml:space="preserve">odable </w:t>
      </w:r>
      <w:r>
        <w:rPr>
          <w:rFonts w:ascii="Calibri" w:hAnsi="Calibri" w:cs="Arial"/>
          <w:b/>
          <w:bCs/>
        </w:rPr>
        <w:t>S</w:t>
      </w:r>
      <w:r>
        <w:rPr>
          <w:rFonts w:ascii="Calibri" w:hAnsi="Calibri" w:cs="Arial"/>
          <w:bCs/>
        </w:rPr>
        <w:t xml:space="preserve">tent coating), is a </w:t>
      </w:r>
      <w:r>
        <w:rPr>
          <w:rFonts w:ascii="Calibri" w:hAnsi="Calibri" w:cs="Arial"/>
        </w:rPr>
        <w:t xml:space="preserve">multi-centre randomized study in which 1,707 patients eligible for PCI for symptomatic coronary disease received either a Biosensors Biolimus </w:t>
      </w:r>
      <w:r>
        <w:rPr>
          <w:rFonts w:ascii="Calibri" w:hAnsi="Calibri" w:cs="Arial"/>
          <w:bCs/>
        </w:rPr>
        <w:t>A9™</w:t>
      </w:r>
      <w:r>
        <w:rPr>
          <w:rFonts w:ascii="Calibri" w:hAnsi="Calibri" w:cs="Arial"/>
        </w:rPr>
        <w:t xml:space="preserve">-eluting stent with an abluminal biodegradable polymer coating (BES), or a sirolimus-eluting stent with a durable polymer (SES). Inclusion criteria were broad, reflecting routine clinical practice, without limitations regarding type of coronary vessel, lesion length or number of treated lesions. The </w:t>
      </w:r>
      <w:r>
        <w:rPr>
          <w:rFonts w:ascii="Calibri" w:hAnsi="Calibri" w:cs="Arial"/>
          <w:bCs/>
        </w:rPr>
        <w:t xml:space="preserve">nine-month results, presented at the European Society of Cardiology (“ESC”) congress in 2008 and simultaneously published in </w:t>
      </w:r>
      <w:r>
        <w:rPr>
          <w:rFonts w:ascii="Calibri" w:hAnsi="Calibri" w:cs="Arial"/>
          <w:bCs/>
          <w:i/>
        </w:rPr>
        <w:t>The Lancet</w:t>
      </w:r>
      <w:r>
        <w:rPr>
          <w:rFonts w:ascii="Calibri" w:hAnsi="Calibri" w:cs="Arial"/>
          <w:bCs/>
        </w:rPr>
        <w:t xml:space="preserve">, </w:t>
      </w:r>
      <w:r>
        <w:rPr>
          <w:rFonts w:ascii="Calibri" w:hAnsi="Calibri" w:cs="Arial"/>
        </w:rPr>
        <w:t xml:space="preserve">demonstrated BES to be non-inferior to SES in respect of the primary endpoint, incidence of MACE at nine months. This non-inferiority was confirmed in the 12-month results, at which time a non-significant difference in the rates of stent thrombosis in favor of BES was also observed.  </w:t>
      </w:r>
    </w:p>
    <w:p w:rsidR="00A42EF4" w:rsidRDefault="00A42EF4" w:rsidP="00A42EF4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A42EF4" w:rsidRPr="003C4184" w:rsidRDefault="00A42EF4" w:rsidP="00A42EF4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Although funded by Biosensors, LEADERS was independently designed, implemented and analyzed by the study investigators. Moreover, data management and analysis were performed by an independent academic institution.</w:t>
      </w:r>
    </w:p>
    <w:p w:rsidR="00A42EF4" w:rsidRDefault="00A42EF4" w:rsidP="00A42EF4">
      <w:pPr>
        <w:spacing w:after="120"/>
        <w:rPr>
          <w:rFonts w:ascii="Calibri" w:eastAsia="MS Mincho" w:hAnsi="Calibri" w:cs="ArialMT"/>
          <w:color w:val="000000"/>
          <w:lang w:val="en-GB" w:eastAsia="ja-JP"/>
        </w:rPr>
      </w:pPr>
    </w:p>
    <w:p w:rsidR="00A42EF4" w:rsidRDefault="00A42EF4" w:rsidP="00A42EF4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-Ends-</w:t>
      </w:r>
    </w:p>
    <w:p w:rsidR="00A42EF4" w:rsidRDefault="00A42EF4" w:rsidP="00A42EF4">
      <w:pPr>
        <w:jc w:val="both"/>
        <w:rPr>
          <w:rStyle w:val="bodytext1"/>
          <w:rFonts w:ascii="Calibri" w:hAnsi="Calibri"/>
          <w:sz w:val="24"/>
          <w:szCs w:val="24"/>
        </w:rPr>
      </w:pPr>
      <w:r>
        <w:rPr>
          <w:rStyle w:val="bodytext1"/>
          <w:rFonts w:ascii="Calibri" w:hAnsi="Calibri"/>
          <w:sz w:val="24"/>
          <w:szCs w:val="24"/>
        </w:rPr>
        <w:t>For further information or to arrange interviews, please contact:</w:t>
      </w:r>
    </w:p>
    <w:p w:rsidR="00A42EF4" w:rsidRDefault="00A42EF4" w:rsidP="00A42EF4">
      <w:pPr>
        <w:jc w:val="both"/>
        <w:rPr>
          <w:rStyle w:val="bodytext1"/>
          <w:rFonts w:ascii="Calibri" w:hAnsi="Calibri"/>
          <w:sz w:val="24"/>
          <w:szCs w:val="24"/>
        </w:rPr>
      </w:pPr>
    </w:p>
    <w:p w:rsidR="00A42EF4" w:rsidRDefault="00A42EF4" w:rsidP="00A42EF4">
      <w:pPr>
        <w:jc w:val="both"/>
        <w:outlineLvl w:val="0"/>
        <w:rPr>
          <w:rStyle w:val="bodytext1"/>
          <w:rFonts w:ascii="Calibri" w:hAnsi="Calibri"/>
          <w:sz w:val="24"/>
          <w:szCs w:val="24"/>
        </w:rPr>
      </w:pPr>
      <w:r>
        <w:rPr>
          <w:rStyle w:val="bodytext1"/>
          <w:rFonts w:ascii="Calibri" w:hAnsi="Calibri"/>
          <w:sz w:val="24"/>
          <w:szCs w:val="24"/>
        </w:rPr>
        <w:t xml:space="preserve">On site at TCT: Susanne Meis: </w:t>
      </w:r>
      <w:hyperlink r:id="rId7" w:history="1">
        <w:r w:rsidRPr="006F0720">
          <w:rPr>
            <w:rStyle w:val="Hyperlink"/>
            <w:rFonts w:ascii="Calibri" w:hAnsi="Calibri" w:cs="Tahoma"/>
          </w:rPr>
          <w:t>s.meis@biosensors.com</w:t>
        </w:r>
      </w:hyperlink>
      <w:r>
        <w:rPr>
          <w:rFonts w:ascii="Tahoma" w:hAnsi="Tahoma" w:cs="Tahoma"/>
          <w:color w:val="444444"/>
          <w:sz w:val="20"/>
          <w:szCs w:val="20"/>
        </w:rPr>
        <w:t xml:space="preserve"> </w:t>
      </w:r>
      <w:r>
        <w:rPr>
          <w:rStyle w:val="bodytext1"/>
          <w:rFonts w:ascii="Calibri" w:hAnsi="Calibri"/>
          <w:sz w:val="24"/>
          <w:szCs w:val="24"/>
        </w:rPr>
        <w:t>+49 171 8918919</w:t>
      </w:r>
    </w:p>
    <w:p w:rsidR="00A42EF4" w:rsidRDefault="00A42EF4" w:rsidP="00A42EF4">
      <w:pPr>
        <w:jc w:val="both"/>
        <w:rPr>
          <w:rStyle w:val="bodytext1"/>
          <w:rFonts w:ascii="Calibri" w:hAnsi="Calibri"/>
          <w:sz w:val="24"/>
          <w:szCs w:val="24"/>
        </w:rPr>
      </w:pPr>
    </w:p>
    <w:p w:rsidR="00A42EF4" w:rsidRDefault="00A42EF4" w:rsidP="00A42EF4">
      <w:pPr>
        <w:jc w:val="both"/>
        <w:outlineLvl w:val="0"/>
        <w:rPr>
          <w:rStyle w:val="bodytext1"/>
          <w:rFonts w:ascii="Calibri" w:hAnsi="Calibri"/>
          <w:sz w:val="24"/>
          <w:szCs w:val="24"/>
        </w:rPr>
      </w:pPr>
      <w:r>
        <w:rPr>
          <w:rStyle w:val="bodytext1"/>
          <w:rFonts w:ascii="Calibri" w:hAnsi="Calibri"/>
          <w:sz w:val="24"/>
          <w:szCs w:val="24"/>
        </w:rPr>
        <w:t xml:space="preserve">Office-based support: Richard Kenyon: </w:t>
      </w:r>
      <w:hyperlink r:id="rId8" w:history="1">
        <w:r>
          <w:rPr>
            <w:rStyle w:val="Hyperlink"/>
            <w:rFonts w:ascii="Calibri" w:hAnsi="Calibri" w:cs="Arial"/>
          </w:rPr>
          <w:t>richard@rkpr.co.uk</w:t>
        </w:r>
      </w:hyperlink>
      <w:r>
        <w:rPr>
          <w:rStyle w:val="bodytext1"/>
          <w:rFonts w:ascii="Calibri" w:hAnsi="Calibri"/>
          <w:sz w:val="24"/>
          <w:szCs w:val="24"/>
        </w:rPr>
        <w:t xml:space="preserve">  +44 7831 569940</w:t>
      </w:r>
    </w:p>
    <w:p w:rsidR="00A42EF4" w:rsidRDefault="00A42EF4" w:rsidP="00A42EF4">
      <w:pPr>
        <w:spacing w:after="120"/>
        <w:rPr>
          <w:rFonts w:ascii="Arial" w:hAnsi="Arial" w:cs="Arial"/>
          <w:sz w:val="22"/>
          <w:szCs w:val="22"/>
        </w:rPr>
      </w:pPr>
    </w:p>
    <w:p w:rsidR="00A42EF4" w:rsidRDefault="00A42EF4" w:rsidP="00A42EF4">
      <w:pPr>
        <w:autoSpaceDE w:val="0"/>
        <w:autoSpaceDN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About Biosensors International Group, Ltd</w:t>
      </w:r>
    </w:p>
    <w:p w:rsidR="00A42EF4" w:rsidRDefault="00A42EF4" w:rsidP="00A42EF4">
      <w:pPr>
        <w:autoSpaceDE w:val="0"/>
        <w:autoSpaceDN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Biosensors develops, manufactures and markets innovative medical devices used in interventional cardiology and critical care procedures. Biosensors is well-positioned to emerge as a leader in drug-eluting stents and has developed a pipeline of next-generation products that are being positioned to gain market share from traditional therapies such as conventional drug-eluting stents, bare-metal stenting and open-heart surgery. It has three separate stent programs, Gazelle, a bare-metal stent, </w:t>
      </w:r>
      <w:r>
        <w:rPr>
          <w:rFonts w:ascii="Calibri" w:hAnsi="Calibri" w:cs="Calibri"/>
          <w:i/>
          <w:iCs/>
          <w:color w:val="000000"/>
        </w:rPr>
        <w:t xml:space="preserve">BioMatrix™ </w:t>
      </w:r>
      <w:r>
        <w:rPr>
          <w:rFonts w:ascii="Calibri" w:hAnsi="Calibri" w:cs="Calibri"/>
          <w:i/>
          <w:iCs/>
          <w:color w:val="000000"/>
          <w:vertAlign w:val="superscript"/>
        </w:rPr>
        <w:t xml:space="preserve"> </w:t>
      </w:r>
      <w:r>
        <w:rPr>
          <w:rFonts w:ascii="Calibri" w:hAnsi="Calibri" w:cs="Calibri"/>
          <w:i/>
          <w:iCs/>
          <w:color w:val="000000"/>
        </w:rPr>
        <w:t>,</w:t>
      </w:r>
      <w:r>
        <w:rPr>
          <w:rFonts w:ascii="Calibri" w:hAnsi="Calibri" w:cs="Calibri"/>
          <w:color w:val="000000"/>
        </w:rPr>
        <w:t>a drug eluting stent with a biodegradable polymer, and BioFreedom</w:t>
      </w:r>
      <w:r>
        <w:rPr>
          <w:rFonts w:ascii="Calibri" w:hAnsi="Calibri" w:cs="Calibri"/>
          <w:color w:val="000000"/>
          <w:vertAlign w:val="superscript"/>
        </w:rPr>
        <w:t>™</w:t>
      </w:r>
      <w:r>
        <w:rPr>
          <w:rFonts w:ascii="Calibri" w:hAnsi="Calibri" w:cs="Calibri"/>
          <w:color w:val="000000"/>
        </w:rPr>
        <w:t xml:space="preserve">, a completely polymer-free drug-eluting stent in development.  For more information, please visit </w:t>
      </w:r>
      <w:hyperlink r:id="rId9" w:history="1">
        <w:r>
          <w:rPr>
            <w:rStyle w:val="Hyperlink"/>
            <w:rFonts w:ascii="Calibri" w:hAnsi="Calibri" w:cs="Calibri"/>
          </w:rPr>
          <w:t>www.biosensors.com</w:t>
        </w:r>
      </w:hyperlink>
      <w:r>
        <w:rPr>
          <w:rFonts w:ascii="Calibri" w:hAnsi="Calibri" w:cs="Calibri"/>
          <w:color w:val="000000"/>
        </w:rPr>
        <w:t xml:space="preserve">. </w:t>
      </w:r>
    </w:p>
    <w:p w:rsidR="00A42EF4" w:rsidRDefault="00A42EF4" w:rsidP="00A42EF4">
      <w:pPr>
        <w:autoSpaceDE w:val="0"/>
        <w:autoSpaceDN w:val="0"/>
        <w:jc w:val="both"/>
        <w:rPr>
          <w:rFonts w:ascii="Calibri" w:hAnsi="Calibri" w:cs="Calibri"/>
          <w:color w:val="000000"/>
        </w:rPr>
      </w:pPr>
    </w:p>
    <w:p w:rsidR="00A42EF4" w:rsidRDefault="00A42EF4" w:rsidP="00A42EF4">
      <w:pPr>
        <w:autoSpaceDE w:val="0"/>
        <w:autoSpaceDN w:val="0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About Cardiovascular Research Foundation</w:t>
      </w:r>
    </w:p>
    <w:p w:rsidR="00A42EF4" w:rsidRDefault="00A42EF4" w:rsidP="00A42EF4">
      <w:pPr>
        <w:autoSpaceDE w:val="0"/>
        <w:autoSpaceDN w:val="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81264A" w:rsidRPr="00A42EF4" w:rsidRDefault="00A42EF4" w:rsidP="00A42EF4">
      <w:pPr>
        <w:autoSpaceDE w:val="0"/>
        <w:autoSpaceDN w:val="0"/>
        <w:adjustRightInd w:val="0"/>
        <w:jc w:val="both"/>
        <w:rPr>
          <w:rFonts w:ascii="Calibri" w:eastAsia="MS Mincho" w:hAnsi="Calibri" w:cs="ArialMT"/>
          <w:color w:val="000000"/>
          <w:lang w:val="en-GB" w:eastAsia="ja-JP"/>
        </w:rPr>
      </w:pPr>
      <w:r w:rsidRPr="00662B34">
        <w:rPr>
          <w:rFonts w:ascii="Calibri" w:eastAsia="MS Mincho" w:hAnsi="Calibri" w:cs="ArialMT"/>
          <w:color w:val="000000"/>
          <w:lang w:val="en-GB" w:eastAsia="ja-JP"/>
        </w:rPr>
        <w:t>The Cardiovascular Research Foundation is an independent, academically focused nonprofit</w:t>
      </w:r>
      <w:r>
        <w:rPr>
          <w:rFonts w:ascii="Calibri" w:eastAsia="MS Mincho" w:hAnsi="Calibri" w:cs="ArialMT"/>
          <w:color w:val="000000"/>
          <w:lang w:val="en-GB" w:eastAsia="ja-JP"/>
        </w:rPr>
        <w:t xml:space="preserve"> 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 xml:space="preserve">organization dedicated to improving the survival and </w:t>
      </w:r>
      <w:r>
        <w:rPr>
          <w:rFonts w:ascii="Calibri" w:eastAsia="MS Mincho" w:hAnsi="Calibri" w:cs="ArialMT"/>
          <w:color w:val="000000"/>
          <w:lang w:val="en-GB" w:eastAsia="ja-JP"/>
        </w:rPr>
        <w:t xml:space="preserve">quality of life for people with 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>cardiovascular</w:t>
      </w:r>
      <w:r>
        <w:rPr>
          <w:rFonts w:ascii="Calibri" w:eastAsia="MS Mincho" w:hAnsi="Calibri" w:cs="ArialMT"/>
          <w:color w:val="000000"/>
          <w:lang w:val="en-GB" w:eastAsia="ja-JP"/>
        </w:rPr>
        <w:t xml:space="preserve"> 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>disease through research and education. Since its inception in 1990, CRF has played a major</w:t>
      </w:r>
      <w:r>
        <w:rPr>
          <w:rFonts w:ascii="Calibri" w:eastAsia="MS Mincho" w:hAnsi="Calibri" w:cs="ArialMT"/>
          <w:color w:val="000000"/>
          <w:lang w:val="en-GB" w:eastAsia="ja-JP"/>
        </w:rPr>
        <w:t xml:space="preserve"> 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>role in realizing dramatic improvements in the lives of countless numbers of patients by</w:t>
      </w:r>
      <w:r>
        <w:rPr>
          <w:rFonts w:ascii="Calibri" w:eastAsia="MS Mincho" w:hAnsi="Calibri" w:cs="ArialMT"/>
          <w:color w:val="000000"/>
          <w:lang w:val="en-GB" w:eastAsia="ja-JP"/>
        </w:rPr>
        <w:t xml:space="preserve"> 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>establishing the safe use of new technologies and therapies in the subspecialty of interventional</w:t>
      </w:r>
      <w:r>
        <w:rPr>
          <w:rFonts w:ascii="Calibri" w:eastAsia="MS Mincho" w:hAnsi="Calibri" w:cs="ArialMT"/>
          <w:color w:val="000000"/>
          <w:lang w:val="en-GB" w:eastAsia="ja-JP"/>
        </w:rPr>
        <w:t xml:space="preserve"> 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 xml:space="preserve">cardiology and endovascular medicine. For more information, please visit </w:t>
      </w:r>
      <w:r w:rsidRPr="00662B34">
        <w:rPr>
          <w:rFonts w:ascii="Calibri" w:eastAsia="MS Mincho" w:hAnsi="Calibri" w:cs="ArialMT"/>
          <w:color w:val="0000FF"/>
          <w:lang w:val="en-GB" w:eastAsia="ja-JP"/>
        </w:rPr>
        <w:t>www.crf.org</w:t>
      </w:r>
      <w:r w:rsidRPr="00662B34">
        <w:rPr>
          <w:rFonts w:ascii="Calibri" w:eastAsia="MS Mincho" w:hAnsi="Calibri" w:cs="ArialMT"/>
          <w:color w:val="000000"/>
          <w:lang w:val="en-GB" w:eastAsia="ja-JP"/>
        </w:rPr>
        <w:t>.</w:t>
      </w:r>
    </w:p>
    <w:sectPr w:rsidR="0081264A" w:rsidRPr="00A42EF4" w:rsidSect="0081264A">
      <w:headerReference w:type="default" r:id="rId10"/>
      <w:pgSz w:w="11909" w:h="16834" w:code="9"/>
      <w:pgMar w:top="1440" w:right="1109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87" w:rsidRDefault="00DF2087">
      <w:r>
        <w:separator/>
      </w:r>
    </w:p>
  </w:endnote>
  <w:endnote w:type="continuationSeparator" w:id="1">
    <w:p w:rsidR="00DF2087" w:rsidRDefault="00DF2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87" w:rsidRDefault="00DF2087">
      <w:r>
        <w:separator/>
      </w:r>
    </w:p>
  </w:footnote>
  <w:footnote w:type="continuationSeparator" w:id="1">
    <w:p w:rsidR="00DF2087" w:rsidRDefault="00DF2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E8" w:rsidRDefault="00AE572B" w:rsidP="004B6F1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1952625" cy="10668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50" t="22000" r="66875" b="59000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0E8" w:rsidRDefault="004B6F1C">
    <w:pPr>
      <w:pStyle w:val="Header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B0B"/>
    <w:multiLevelType w:val="hybridMultilevel"/>
    <w:tmpl w:val="4E92B184"/>
    <w:lvl w:ilvl="0" w:tplc="80D2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FA16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4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8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64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C2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D3CAB"/>
    <w:multiLevelType w:val="hybridMultilevel"/>
    <w:tmpl w:val="7506F690"/>
    <w:lvl w:ilvl="0" w:tplc="B62C55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9A2C39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FC09A12">
      <w:start w:val="108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D4C6DEC">
      <w:start w:val="1089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842B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5A49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A82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59482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4CA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21B85258"/>
    <w:multiLevelType w:val="hybridMultilevel"/>
    <w:tmpl w:val="A54A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E7EEB"/>
    <w:multiLevelType w:val="hybridMultilevel"/>
    <w:tmpl w:val="80C2F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D6CB9"/>
    <w:multiLevelType w:val="hybridMultilevel"/>
    <w:tmpl w:val="A9940C42"/>
    <w:lvl w:ilvl="0" w:tplc="8DD49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E23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CD37A">
      <w:start w:val="2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8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4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2E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A5165D"/>
    <w:multiLevelType w:val="hybridMultilevel"/>
    <w:tmpl w:val="667E9088"/>
    <w:lvl w:ilvl="0" w:tplc="30F46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D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E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EB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4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07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5D217D"/>
    <w:multiLevelType w:val="hybridMultilevel"/>
    <w:tmpl w:val="045C88AE"/>
    <w:lvl w:ilvl="0" w:tplc="0FE6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EB8AA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6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87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C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20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4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E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2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F5FD3"/>
    <w:rsid w:val="00030672"/>
    <w:rsid w:val="00167290"/>
    <w:rsid w:val="001B2ACB"/>
    <w:rsid w:val="00257FD1"/>
    <w:rsid w:val="00270B25"/>
    <w:rsid w:val="00297366"/>
    <w:rsid w:val="002D2687"/>
    <w:rsid w:val="003477A4"/>
    <w:rsid w:val="003B23B9"/>
    <w:rsid w:val="0042217A"/>
    <w:rsid w:val="00464079"/>
    <w:rsid w:val="004B6F1C"/>
    <w:rsid w:val="004D3791"/>
    <w:rsid w:val="00584CE3"/>
    <w:rsid w:val="005A3AEE"/>
    <w:rsid w:val="005C0152"/>
    <w:rsid w:val="007C1513"/>
    <w:rsid w:val="007E013A"/>
    <w:rsid w:val="0081264A"/>
    <w:rsid w:val="0088651C"/>
    <w:rsid w:val="00890A08"/>
    <w:rsid w:val="0092259B"/>
    <w:rsid w:val="009918D8"/>
    <w:rsid w:val="009A752B"/>
    <w:rsid w:val="009C6BB0"/>
    <w:rsid w:val="00A42EF4"/>
    <w:rsid w:val="00A63654"/>
    <w:rsid w:val="00AA7582"/>
    <w:rsid w:val="00AC22C2"/>
    <w:rsid w:val="00AC297E"/>
    <w:rsid w:val="00AE572B"/>
    <w:rsid w:val="00B25A8D"/>
    <w:rsid w:val="00BF5FD3"/>
    <w:rsid w:val="00C366F5"/>
    <w:rsid w:val="00CE4A67"/>
    <w:rsid w:val="00D92DCF"/>
    <w:rsid w:val="00DA11C2"/>
    <w:rsid w:val="00DA5452"/>
    <w:rsid w:val="00DF2087"/>
    <w:rsid w:val="00E107E3"/>
    <w:rsid w:val="00E910E8"/>
    <w:rsid w:val="00EB7540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2D2687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2D268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2D2687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2D2687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2D2687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2D2687"/>
    <w:rPr>
      <w:b/>
      <w:bCs/>
    </w:rPr>
  </w:style>
  <w:style w:type="character" w:styleId="Hyperlink">
    <w:name w:val="Hyperlink"/>
    <w:basedOn w:val="DefaultParagraphFont"/>
    <w:rsid w:val="002D2687"/>
    <w:rPr>
      <w:rFonts w:cs="Times New Roman"/>
      <w:color w:val="0000FF"/>
      <w:u w:val="single"/>
    </w:rPr>
  </w:style>
  <w:style w:type="character" w:customStyle="1" w:styleId="bodytext1">
    <w:name w:val="bodytext1"/>
    <w:basedOn w:val="DefaultParagraphFont"/>
    <w:rsid w:val="002D2687"/>
    <w:rPr>
      <w:rFonts w:ascii="Verdana" w:hAnsi="Verdana" w:cs="Arial"/>
      <w:color w:val="000000"/>
      <w:sz w:val="18"/>
      <w:szCs w:val="18"/>
    </w:rPr>
  </w:style>
  <w:style w:type="paragraph" w:styleId="Header">
    <w:name w:val="header"/>
    <w:basedOn w:val="Normal"/>
    <w:rsid w:val="002D26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Footer">
    <w:name w:val="footer"/>
    <w:basedOn w:val="Normal"/>
    <w:rsid w:val="002D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BodyText">
    <w:name w:val="Body Text"/>
    <w:basedOn w:val="Normal"/>
    <w:rsid w:val="002D2687"/>
    <w:pPr>
      <w:spacing w:line="480" w:lineRule="auto"/>
      <w:jc w:val="both"/>
    </w:pPr>
    <w:rPr>
      <w:lang w:eastAsia="es-ES"/>
    </w:rPr>
  </w:style>
  <w:style w:type="character" w:customStyle="1" w:styleId="BodyTextChar">
    <w:name w:val="Body Text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A97B27"/>
    <w:rPr>
      <w:sz w:val="24"/>
      <w:szCs w:val="24"/>
    </w:rPr>
  </w:style>
  <w:style w:type="paragraph" w:styleId="DocumentMap">
    <w:name w:val="Document Map"/>
    <w:basedOn w:val="Normal"/>
    <w:semiHidden/>
    <w:rsid w:val="00160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04CB"/>
    <w:pPr>
      <w:spacing w:before="100" w:beforeAutospacing="1" w:after="100" w:afterAutospacing="1"/>
    </w:pPr>
  </w:style>
  <w:style w:type="paragraph" w:customStyle="1" w:styleId="Default">
    <w:name w:val="Default"/>
    <w:rsid w:val="00D92DCF"/>
    <w:pPr>
      <w:autoSpaceDE w:val="0"/>
      <w:autoSpaceDN w:val="0"/>
      <w:adjustRightInd w:val="0"/>
    </w:pPr>
    <w:rPr>
      <w:rFonts w:ascii="Calibri" w:eastAsia="Batang" w:hAnsi="Calibri" w:cs="Calibri"/>
      <w:color w:val="000000"/>
      <w:sz w:val="24"/>
      <w:szCs w:val="24"/>
      <w:lang w:eastAsia="ja-JP"/>
    </w:rPr>
  </w:style>
  <w:style w:type="paragraph" w:customStyle="1" w:styleId="ecmsonormal">
    <w:name w:val="ec_msonormal"/>
    <w:basedOn w:val="Normal"/>
    <w:rsid w:val="00E107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650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015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7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1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00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6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5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039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rkp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meis@biosenso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osenso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Biosensors Biofreedom Release</vt:lpstr>
    </vt:vector>
  </TitlesOfParts>
  <Company>Biosensors</Company>
  <LinksUpToDate>false</LinksUpToDate>
  <CharactersWithSpaces>5319</CharactersWithSpaces>
  <SharedDoc>false</SharedDoc>
  <HLinks>
    <vt:vector size="18" baseType="variant">
      <vt:variant>
        <vt:i4>2883638</vt:i4>
      </vt:variant>
      <vt:variant>
        <vt:i4>6</vt:i4>
      </vt:variant>
      <vt:variant>
        <vt:i4>0</vt:i4>
      </vt:variant>
      <vt:variant>
        <vt:i4>5</vt:i4>
      </vt:variant>
      <vt:variant>
        <vt:lpwstr>http://www.biosensors.com/</vt:lpwstr>
      </vt:variant>
      <vt:variant>
        <vt:lpwstr/>
      </vt:variant>
      <vt:variant>
        <vt:i4>4194349</vt:i4>
      </vt:variant>
      <vt:variant>
        <vt:i4>3</vt:i4>
      </vt:variant>
      <vt:variant>
        <vt:i4>0</vt:i4>
      </vt:variant>
      <vt:variant>
        <vt:i4>5</vt:i4>
      </vt:variant>
      <vt:variant>
        <vt:lpwstr>mailto:richard@rkpr.co.uk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mailto:s.meis@biosensors.com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Biosensors Biofreedom Release</dc:title>
  <dc:subject/>
  <dc:creator>Richard Kenyon</dc:creator>
  <cp:keywords/>
  <dc:description/>
  <cp:lastModifiedBy>Lydia Kenyon</cp:lastModifiedBy>
  <cp:revision>2</cp:revision>
  <cp:lastPrinted>2009-09-24T12:41:00Z</cp:lastPrinted>
  <dcterms:created xsi:type="dcterms:W3CDTF">2011-06-14T12:22:00Z</dcterms:created>
  <dcterms:modified xsi:type="dcterms:W3CDTF">2011-06-14T12:22:00Z</dcterms:modified>
</cp:coreProperties>
</file>