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Pr="000B0266" w:rsidRDefault="00AE572B" w:rsidP="00AE57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0B0266">
        <w:rPr>
          <w:rFonts w:ascii="Calibri" w:hAnsi="Calibri" w:cs="Calibri"/>
          <w:b/>
          <w:bCs/>
          <w:color w:val="000000"/>
          <w:sz w:val="40"/>
          <w:szCs w:val="40"/>
        </w:rPr>
        <w:t>NEWS RELEASE</w:t>
      </w:r>
    </w:p>
    <w:p w:rsidR="00AE572B" w:rsidRDefault="00AE572B" w:rsidP="00AE572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90A08" w:rsidRPr="00EF4F4F" w:rsidRDefault="00890A08" w:rsidP="00890A0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EMBARGOED UNTIL 12:30 CET 1 SEPTEMBER 2008</w:t>
      </w:r>
    </w:p>
    <w:p w:rsidR="00890A08" w:rsidRDefault="00890A08" w:rsidP="00890A0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90A08" w:rsidRDefault="00890A08" w:rsidP="00890A0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90A08" w:rsidRPr="00EF4F4F" w:rsidRDefault="00890A08" w:rsidP="00890A0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Biosensors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DES Demonstrates Eq</w:t>
      </w:r>
      <w:r>
        <w:rPr>
          <w:rFonts w:ascii="Calibri" w:hAnsi="Calibri" w:cs="Arial"/>
          <w:b/>
          <w:bCs/>
          <w:sz w:val="28"/>
          <w:szCs w:val="28"/>
        </w:rPr>
        <w:t>uivalent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Safety and Efficacy to Industry </w:t>
      </w:r>
      <w:r>
        <w:rPr>
          <w:rFonts w:ascii="Calibri" w:hAnsi="Calibri" w:cs="Arial"/>
          <w:b/>
          <w:bCs/>
          <w:sz w:val="28"/>
          <w:szCs w:val="28"/>
        </w:rPr>
        <w:t>Leading DES</w:t>
      </w:r>
      <w:r w:rsidRPr="00EF4F4F">
        <w:rPr>
          <w:rFonts w:ascii="Calibri" w:hAnsi="Calibri" w:cs="Arial"/>
          <w:b/>
          <w:bCs/>
          <w:sz w:val="28"/>
          <w:szCs w:val="28"/>
        </w:rPr>
        <w:t xml:space="preserve"> in First ‘Real World, All Comers’ Clinical Study</w:t>
      </w:r>
    </w:p>
    <w:p w:rsidR="00890A08" w:rsidRPr="002576D6" w:rsidRDefault="00890A08" w:rsidP="00890A0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90A08" w:rsidRPr="00EF4F4F" w:rsidRDefault="00890A08" w:rsidP="00890A08">
      <w:pPr>
        <w:jc w:val="both"/>
        <w:rPr>
          <w:rFonts w:ascii="Calibri" w:hAnsi="Calibri" w:cs="Arial"/>
        </w:rPr>
      </w:pPr>
      <w:r w:rsidRPr="00EF4F4F">
        <w:rPr>
          <w:rFonts w:ascii="Calibri" w:hAnsi="Calibri" w:cs="Arial"/>
          <w:b/>
          <w:bCs/>
        </w:rPr>
        <w:t xml:space="preserve">Munich, Germany, 1 September 2008 – </w:t>
      </w:r>
      <w:r w:rsidRPr="00EF4F4F">
        <w:rPr>
          <w:rFonts w:ascii="Calibri" w:hAnsi="Calibri" w:cs="Arial"/>
          <w:bCs/>
        </w:rPr>
        <w:t>Biosensors</w:t>
      </w:r>
      <w:r>
        <w:rPr>
          <w:rFonts w:ascii="Calibri" w:hAnsi="Calibri" w:cs="Arial"/>
          <w:bCs/>
        </w:rPr>
        <w:t xml:space="preserve"> International Group, Ltd (“Biosensors”, “Company”, BIG:SP) today announced that a </w:t>
      </w:r>
      <w:r w:rsidRPr="00EF4F4F">
        <w:rPr>
          <w:rFonts w:ascii="Calibri" w:hAnsi="Calibri" w:cs="Arial"/>
          <w:bCs/>
        </w:rPr>
        <w:t>next-generation</w:t>
      </w:r>
      <w:r w:rsidRPr="00EF4F4F">
        <w:rPr>
          <w:rFonts w:ascii="Calibri" w:hAnsi="Calibri" w:cs="Arial"/>
          <w:b/>
          <w:bCs/>
        </w:rPr>
        <w:t xml:space="preserve"> </w:t>
      </w:r>
      <w:r w:rsidRPr="00EF4F4F">
        <w:rPr>
          <w:rFonts w:ascii="Calibri" w:hAnsi="Calibri" w:cs="Arial"/>
        </w:rPr>
        <w:t>drug-eluting stent</w:t>
      </w:r>
      <w:r>
        <w:rPr>
          <w:rFonts w:ascii="Calibri" w:hAnsi="Calibri" w:cs="Arial"/>
        </w:rPr>
        <w:t xml:space="preserve">, developed by Biosensors, has demonstrated equal safety and efficacy as compared to 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Johnson &amp; Johnson’s </w:t>
      </w:r>
      <w:r w:rsidRPr="00EF4F4F">
        <w:rPr>
          <w:rFonts w:ascii="Calibri" w:hAnsi="Calibri" w:cs="Arial"/>
        </w:rPr>
        <w:t xml:space="preserve"> industry </w:t>
      </w:r>
      <w:r>
        <w:rPr>
          <w:rFonts w:ascii="Calibri" w:hAnsi="Calibri" w:cs="Arial"/>
        </w:rPr>
        <w:t>leading</w:t>
      </w:r>
      <w:r w:rsidRPr="00EF4F4F">
        <w:rPr>
          <w:rFonts w:ascii="Calibri" w:hAnsi="Calibri" w:cs="Arial"/>
        </w:rPr>
        <w:t xml:space="preserve"> drug-eluting stent</w:t>
      </w:r>
      <w:r>
        <w:rPr>
          <w:rFonts w:ascii="Calibri" w:hAnsi="Calibri" w:cs="Arial"/>
        </w:rPr>
        <w:t>, CYPHER</w:t>
      </w:r>
      <w:r w:rsidRPr="00EF4F4F">
        <w:rPr>
          <w:rFonts w:ascii="Calibri" w:hAnsi="Calibri" w:cs="Arial"/>
        </w:rPr>
        <w:t xml:space="preserve"> S</w:t>
      </w:r>
      <w:r>
        <w:rPr>
          <w:rFonts w:ascii="Calibri" w:hAnsi="Calibri" w:cs="Arial"/>
        </w:rPr>
        <w:t>ELECT™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EF4F4F">
        <w:rPr>
          <w:rFonts w:ascii="Calibri" w:hAnsi="Calibri" w:cs="Arial"/>
        </w:rPr>
        <w:t xml:space="preserve">“Cypher”), based </w:t>
      </w:r>
      <w:r>
        <w:rPr>
          <w:rFonts w:ascii="Calibri" w:hAnsi="Calibri" w:cs="Arial"/>
        </w:rPr>
        <w:t>up</w:t>
      </w:r>
      <w:r w:rsidRPr="00EF4F4F">
        <w:rPr>
          <w:rFonts w:ascii="Calibri" w:hAnsi="Calibri" w:cs="Arial"/>
        </w:rPr>
        <w:t>on nine-month clinical and angiographic follow-up data</w:t>
      </w:r>
      <w:r>
        <w:rPr>
          <w:rFonts w:ascii="Calibri" w:hAnsi="Calibri" w:cs="Arial"/>
        </w:rPr>
        <w:t>. T</w:t>
      </w:r>
      <w:r w:rsidRPr="00EF4F4F">
        <w:rPr>
          <w:rFonts w:ascii="Calibri" w:hAnsi="Calibri" w:cs="Arial"/>
        </w:rPr>
        <w:t xml:space="preserve">he results of </w:t>
      </w:r>
      <w:r>
        <w:rPr>
          <w:rFonts w:ascii="Calibri" w:hAnsi="Calibri" w:cs="Arial"/>
        </w:rPr>
        <w:t>the</w:t>
      </w:r>
      <w:r w:rsidRPr="00EF4F4F">
        <w:rPr>
          <w:rFonts w:ascii="Calibri" w:hAnsi="Calibri" w:cs="Arial"/>
        </w:rPr>
        <w:t xml:space="preserve"> landmark study </w:t>
      </w:r>
      <w:r>
        <w:rPr>
          <w:rFonts w:ascii="Calibri" w:hAnsi="Calibri" w:cs="Arial"/>
        </w:rPr>
        <w:t xml:space="preserve">were </w:t>
      </w:r>
      <w:r w:rsidRPr="00EF4F4F">
        <w:rPr>
          <w:rFonts w:ascii="Calibri" w:hAnsi="Calibri" w:cs="Arial"/>
        </w:rPr>
        <w:t xml:space="preserve">presented </w:t>
      </w:r>
      <w:r>
        <w:rPr>
          <w:rFonts w:ascii="Calibri" w:hAnsi="Calibri" w:cs="Arial"/>
        </w:rPr>
        <w:t xml:space="preserve">today </w:t>
      </w:r>
      <w:r w:rsidRPr="00EF4F4F">
        <w:rPr>
          <w:rFonts w:ascii="Calibri" w:hAnsi="Calibri" w:cs="Arial"/>
        </w:rPr>
        <w:t xml:space="preserve">at the 2008 European Society of Cardiology </w:t>
      </w:r>
      <w:r>
        <w:rPr>
          <w:rFonts w:ascii="Calibri" w:hAnsi="Calibri" w:cs="Arial"/>
        </w:rPr>
        <w:t>Congress</w:t>
      </w:r>
      <w:r w:rsidRPr="00EF4F4F">
        <w:rPr>
          <w:rFonts w:ascii="Calibri" w:hAnsi="Calibri" w:cs="Arial"/>
        </w:rPr>
        <w:t xml:space="preserve"> and published </w:t>
      </w:r>
      <w:r>
        <w:rPr>
          <w:rFonts w:ascii="Calibri" w:hAnsi="Calibri" w:cs="Arial"/>
        </w:rPr>
        <w:t xml:space="preserve">concurrently </w:t>
      </w:r>
      <w:r w:rsidRPr="00EF4F4F">
        <w:rPr>
          <w:rFonts w:ascii="Calibri" w:hAnsi="Calibri" w:cs="Arial"/>
        </w:rPr>
        <w:t xml:space="preserve">on-line by the prestigious </w:t>
      </w:r>
      <w:smartTag w:uri="urn:schemas-microsoft-com:office:smarttags" w:element="country-region">
        <w:smartTag w:uri="urn:schemas-microsoft-com:office:smarttags" w:element="place">
          <w:r w:rsidRPr="00EF4F4F">
            <w:rPr>
              <w:rFonts w:ascii="Calibri" w:hAnsi="Calibri" w:cs="Arial"/>
            </w:rPr>
            <w:t>UK</w:t>
          </w:r>
        </w:smartTag>
      </w:smartTag>
      <w:r w:rsidRPr="00EF4F4F">
        <w:rPr>
          <w:rFonts w:ascii="Calibri" w:hAnsi="Calibri" w:cs="Arial"/>
        </w:rPr>
        <w:t xml:space="preserve"> medical journal </w:t>
      </w:r>
      <w:r w:rsidRPr="007502B9">
        <w:rPr>
          <w:rFonts w:ascii="Calibri" w:hAnsi="Calibri" w:cs="Arial"/>
          <w:i/>
        </w:rPr>
        <w:t>The Lancet</w:t>
      </w:r>
      <w:r w:rsidRPr="00EF4F4F">
        <w:rPr>
          <w:rFonts w:ascii="Calibri" w:hAnsi="Calibri" w:cs="Arial"/>
        </w:rPr>
        <w:t>.</w:t>
      </w:r>
    </w:p>
    <w:p w:rsidR="00890A08" w:rsidRPr="00EF4F4F" w:rsidRDefault="00890A08" w:rsidP="00890A08">
      <w:pPr>
        <w:jc w:val="both"/>
        <w:rPr>
          <w:rFonts w:ascii="Calibri" w:hAnsi="Calibri" w:cs="Arial"/>
        </w:rPr>
      </w:pPr>
    </w:p>
    <w:p w:rsidR="00890A08" w:rsidRPr="00EF4F4F" w:rsidRDefault="00890A08" w:rsidP="00890A08">
      <w:pPr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LEADERS </w:t>
      </w:r>
      <w:r w:rsidRPr="00EF4F4F">
        <w:rPr>
          <w:rFonts w:ascii="Calibri" w:hAnsi="Calibri" w:cs="Arial"/>
          <w:bCs/>
        </w:rPr>
        <w:t>(</w:t>
      </w:r>
      <w:r w:rsidRPr="002C7999">
        <w:rPr>
          <w:rFonts w:ascii="Calibri" w:hAnsi="Calibri" w:cs="Arial"/>
          <w:b/>
          <w:bCs/>
        </w:rPr>
        <w:t>L</w:t>
      </w:r>
      <w:r w:rsidRPr="00EF4F4F">
        <w:rPr>
          <w:rFonts w:ascii="Calibri" w:hAnsi="Calibri" w:cs="Arial"/>
          <w:bCs/>
        </w:rPr>
        <w:t xml:space="preserve">imus </w:t>
      </w:r>
      <w:r w:rsidRPr="002C7999">
        <w:rPr>
          <w:rFonts w:ascii="Calibri" w:hAnsi="Calibri" w:cs="Arial"/>
          <w:b/>
          <w:bCs/>
        </w:rPr>
        <w:t>E</w:t>
      </w:r>
      <w:r w:rsidRPr="00EF4F4F">
        <w:rPr>
          <w:rFonts w:ascii="Calibri" w:hAnsi="Calibri" w:cs="Arial"/>
          <w:bCs/>
        </w:rPr>
        <w:t xml:space="preserve">luted from </w:t>
      </w:r>
      <w:r w:rsidRPr="002C7999">
        <w:rPr>
          <w:rFonts w:ascii="Calibri" w:hAnsi="Calibri" w:cs="Arial"/>
          <w:b/>
          <w:bCs/>
        </w:rPr>
        <w:t>A</w:t>
      </w:r>
      <w:r w:rsidRPr="00EF4F4F">
        <w:rPr>
          <w:rFonts w:ascii="Calibri" w:hAnsi="Calibri" w:cs="Arial"/>
          <w:bCs/>
        </w:rPr>
        <w:t xml:space="preserve"> </w:t>
      </w:r>
      <w:r w:rsidRPr="002C7999">
        <w:rPr>
          <w:rFonts w:ascii="Calibri" w:hAnsi="Calibri" w:cs="Arial"/>
          <w:b/>
          <w:bCs/>
        </w:rPr>
        <w:t>D</w:t>
      </w:r>
      <w:r w:rsidRPr="00EF4F4F">
        <w:rPr>
          <w:rFonts w:ascii="Calibri" w:hAnsi="Calibri" w:cs="Arial"/>
          <w:bCs/>
        </w:rPr>
        <w:t xml:space="preserve">urable versus </w:t>
      </w:r>
      <w:r w:rsidRPr="002C7999">
        <w:rPr>
          <w:rFonts w:ascii="Calibri" w:hAnsi="Calibri" w:cs="Arial"/>
          <w:b/>
          <w:bCs/>
        </w:rPr>
        <w:t>ER</w:t>
      </w:r>
      <w:r w:rsidRPr="00EF4F4F">
        <w:rPr>
          <w:rFonts w:ascii="Calibri" w:hAnsi="Calibri" w:cs="Arial"/>
          <w:bCs/>
        </w:rPr>
        <w:t xml:space="preserve">odable </w:t>
      </w:r>
      <w:r w:rsidRPr="002C7999">
        <w:rPr>
          <w:rFonts w:ascii="Calibri" w:hAnsi="Calibri" w:cs="Arial"/>
          <w:b/>
          <w:bCs/>
        </w:rPr>
        <w:t>S</w:t>
      </w:r>
      <w:r w:rsidRPr="00EF4F4F">
        <w:rPr>
          <w:rFonts w:ascii="Calibri" w:hAnsi="Calibri" w:cs="Arial"/>
          <w:bCs/>
        </w:rPr>
        <w:t xml:space="preserve">tent coating) </w:t>
      </w:r>
      <w:r w:rsidRPr="00EF4F4F">
        <w:rPr>
          <w:rFonts w:ascii="Calibri" w:hAnsi="Calibri" w:cs="Arial"/>
        </w:rPr>
        <w:t xml:space="preserve">is the first head-to-head randomized study between </w:t>
      </w:r>
      <w:r>
        <w:rPr>
          <w:rFonts w:ascii="Calibri" w:hAnsi="Calibri" w:cs="Arial"/>
        </w:rPr>
        <w:t xml:space="preserve">the </w:t>
      </w:r>
      <w:r w:rsidRPr="00EF4F4F">
        <w:rPr>
          <w:rFonts w:ascii="Calibri" w:hAnsi="Calibri" w:cs="Arial"/>
        </w:rPr>
        <w:t>t</w:t>
      </w:r>
      <w:r>
        <w:rPr>
          <w:rFonts w:ascii="Calibri" w:hAnsi="Calibri" w:cs="Arial"/>
        </w:rPr>
        <w:t>wo drug-eluting stent systems (DES</w:t>
      </w:r>
      <w:r w:rsidRPr="00EF4F4F">
        <w:rPr>
          <w:rFonts w:ascii="Calibri" w:hAnsi="Calibri" w:cs="Arial"/>
        </w:rPr>
        <w:t>) in a ‘real world, all comers’ population using clinical results as its primary endpoint.</w:t>
      </w:r>
    </w:p>
    <w:p w:rsidR="00890A08" w:rsidRPr="00EF4F4F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Pr="00EF4F4F" w:rsidRDefault="00890A08" w:rsidP="00890A08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>Th</w:t>
      </w:r>
      <w:r>
        <w:rPr>
          <w:rFonts w:ascii="Calibri" w:hAnsi="Calibri" w:cs="Arial"/>
        </w:rPr>
        <w:t>is</w:t>
      </w:r>
      <w:r w:rsidRPr="00EF4F4F">
        <w:rPr>
          <w:rFonts w:ascii="Calibri" w:hAnsi="Calibri" w:cs="Arial"/>
        </w:rPr>
        <w:t xml:space="preserve"> multi-centre European study randomized 1,707 patients eligible for percutaneous coronary intervention (PCI) for symptomatic coronary disease to receive either </w:t>
      </w:r>
      <w:r>
        <w:rPr>
          <w:rFonts w:ascii="Calibri" w:hAnsi="Calibri" w:cs="Arial"/>
        </w:rPr>
        <w:t xml:space="preserve">a Biosensors </w:t>
      </w:r>
      <w:r w:rsidRPr="00EF4F4F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>B</w:t>
      </w:r>
      <w:r w:rsidRPr="00EF4F4F">
        <w:rPr>
          <w:rFonts w:ascii="Calibri" w:hAnsi="Calibri" w:cs="Arial"/>
        </w:rPr>
        <w:t xml:space="preserve">iolimus-eluting </w:t>
      </w:r>
      <w:r>
        <w:rPr>
          <w:rFonts w:ascii="Calibri" w:hAnsi="Calibri" w:cs="Arial"/>
        </w:rPr>
        <w:t>DES</w:t>
      </w:r>
      <w:r w:rsidRPr="00EF4F4F">
        <w:rPr>
          <w:rFonts w:ascii="Calibri" w:hAnsi="Calibri" w:cs="Arial"/>
        </w:rPr>
        <w:t xml:space="preserve"> with an abluminal biodegradable polymer</w:t>
      </w:r>
      <w:r>
        <w:rPr>
          <w:rFonts w:ascii="Calibri" w:hAnsi="Calibri" w:cs="Arial"/>
        </w:rPr>
        <w:t xml:space="preserve"> coating,</w:t>
      </w:r>
      <w:r w:rsidRPr="00EF4F4F">
        <w:rPr>
          <w:rFonts w:ascii="Calibri" w:hAnsi="Calibri" w:cs="Arial"/>
        </w:rPr>
        <w:t xml:space="preserve"> or </w:t>
      </w:r>
      <w:r>
        <w:rPr>
          <w:rFonts w:ascii="Calibri" w:hAnsi="Calibri" w:cs="Arial"/>
        </w:rPr>
        <w:t>a</w:t>
      </w:r>
      <w:r w:rsidRPr="00EF4F4F">
        <w:rPr>
          <w:rFonts w:ascii="Calibri" w:hAnsi="Calibri" w:cs="Arial"/>
        </w:rPr>
        <w:t xml:space="preserve"> Cypher</w:t>
      </w:r>
      <w:r>
        <w:rPr>
          <w:rFonts w:ascii="Calibri" w:hAnsi="Calibri" w:cs="Arial"/>
        </w:rPr>
        <w:t xml:space="preserve"> Sirolimus-eluting DES</w:t>
      </w:r>
      <w:r w:rsidRPr="00EF4F4F">
        <w:rPr>
          <w:rFonts w:ascii="Calibri" w:hAnsi="Calibri" w:cs="Arial"/>
        </w:rPr>
        <w:t xml:space="preserve"> with a durable pol</w:t>
      </w:r>
      <w:r>
        <w:rPr>
          <w:rFonts w:ascii="Calibri" w:hAnsi="Calibri" w:cs="Arial"/>
        </w:rPr>
        <w:t xml:space="preserve">ymer. In total, 2,472 coronary </w:t>
      </w:r>
      <w:r w:rsidRPr="00EF4F4F">
        <w:rPr>
          <w:rFonts w:ascii="Calibri" w:hAnsi="Calibri" w:cs="Arial"/>
        </w:rPr>
        <w:t xml:space="preserve">lesions were treated. Inclusion criteria were broad, reflecting routine clinical practice, without limitations regarding type of coronary vessel, lesion length or number of treated lesions. Patient </w:t>
      </w:r>
      <w:r>
        <w:rPr>
          <w:rFonts w:ascii="Calibri" w:hAnsi="Calibri" w:cs="Arial"/>
        </w:rPr>
        <w:t xml:space="preserve">conditions known as “off-label indications”, including </w:t>
      </w:r>
      <w:r w:rsidRPr="00EF4F4F">
        <w:rPr>
          <w:rFonts w:ascii="Calibri" w:hAnsi="Calibri" w:cs="Arial"/>
        </w:rPr>
        <w:t>acute coronary syndromes, saphenous vein grafts and previously treated lesions were also included in the trial.</w:t>
      </w:r>
    </w:p>
    <w:p w:rsidR="00890A08" w:rsidRPr="00EF4F4F" w:rsidRDefault="00890A08" w:rsidP="00890A08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The primary endpoint of the study was non-inferiority of the composite of cardiac death, myocardial infarction, </w:t>
      </w:r>
      <w:r>
        <w:rPr>
          <w:rFonts w:ascii="Calibri" w:hAnsi="Calibri" w:cs="Arial"/>
        </w:rPr>
        <w:t>and</w:t>
      </w:r>
      <w:r w:rsidRPr="00EF4F4F">
        <w:rPr>
          <w:rFonts w:ascii="Calibri" w:hAnsi="Calibri" w:cs="Arial"/>
        </w:rPr>
        <w:t xml:space="preserve"> clinically-driven target vessel revascularization (</w:t>
      </w:r>
      <w:r>
        <w:rPr>
          <w:rFonts w:ascii="Calibri" w:hAnsi="Calibri" w:cs="Arial"/>
        </w:rPr>
        <w:t>“</w:t>
      </w:r>
      <w:r w:rsidRPr="00EF4F4F">
        <w:rPr>
          <w:rFonts w:ascii="Calibri" w:hAnsi="Calibri" w:cs="Arial"/>
        </w:rPr>
        <w:t>TVR</w:t>
      </w:r>
      <w:r>
        <w:rPr>
          <w:rFonts w:ascii="Calibri" w:hAnsi="Calibri" w:cs="Arial"/>
        </w:rPr>
        <w:t>”</w:t>
      </w:r>
      <w:r w:rsidRPr="00EF4F4F">
        <w:rPr>
          <w:rFonts w:ascii="Calibri" w:hAnsi="Calibri" w:cs="Arial"/>
        </w:rPr>
        <w:t>) at nine months follow-up. In addition, 25 percent of all patients were randomly assigned to undergo angiographic follow-up at nine months. The principal endpoint of the pre-specified angiographic sub-group was in-stent percent diameter stenosis at nine months.</w:t>
      </w:r>
    </w:p>
    <w:p w:rsidR="00890A08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Pr="0064487C" w:rsidRDefault="00890A08" w:rsidP="00890A08">
      <w:pPr>
        <w:spacing w:after="120"/>
        <w:jc w:val="right"/>
        <w:rPr>
          <w:rFonts w:ascii="Calibri" w:hAnsi="Calibri" w:cs="Arial"/>
          <w:b/>
        </w:rPr>
      </w:pPr>
      <w:r w:rsidRPr="0064487C">
        <w:rPr>
          <w:rFonts w:ascii="Calibri" w:hAnsi="Calibri" w:cs="Arial"/>
          <w:b/>
        </w:rPr>
        <w:t>More/…</w:t>
      </w:r>
    </w:p>
    <w:p w:rsidR="00890A08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Default="00890A08" w:rsidP="00890A08">
      <w:pPr>
        <w:spacing w:after="120"/>
        <w:jc w:val="both"/>
        <w:rPr>
          <w:rFonts w:ascii="Calibri" w:hAnsi="Calibri" w:cs="Arial"/>
        </w:rPr>
      </w:pPr>
    </w:p>
    <w:p w:rsidR="00890A08" w:rsidRPr="00EF4F4F" w:rsidRDefault="00890A08" w:rsidP="00890A08">
      <w:pPr>
        <w:spacing w:after="12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lastRenderedPageBreak/>
        <w:t>During the first nine months, 9.2 percent of patient</w:t>
      </w:r>
      <w:r>
        <w:rPr>
          <w:rFonts w:ascii="Calibri" w:hAnsi="Calibri" w:cs="Arial"/>
        </w:rPr>
        <w:t>s receiving the Biosensors DES</w:t>
      </w:r>
      <w:r w:rsidRPr="00EF4F4F">
        <w:rPr>
          <w:rFonts w:ascii="Calibri" w:hAnsi="Calibri" w:cs="Arial"/>
        </w:rPr>
        <w:t xml:space="preserve">, and 10.5 percent of patients given the Cypher DES experienced a clinical adverse event that could be included in the primary composite endpoint, thus demonstrating </w:t>
      </w:r>
      <w:r>
        <w:rPr>
          <w:rFonts w:ascii="Calibri" w:hAnsi="Calibri" w:cs="Arial"/>
        </w:rPr>
        <w:t xml:space="preserve">that </w:t>
      </w:r>
      <w:r w:rsidRPr="00EF4F4F">
        <w:rPr>
          <w:rFonts w:ascii="Calibri" w:hAnsi="Calibri" w:cs="Arial"/>
        </w:rPr>
        <w:t xml:space="preserve">the Biosensors stent </w:t>
      </w:r>
      <w:r>
        <w:rPr>
          <w:rFonts w:ascii="Calibri" w:hAnsi="Calibri" w:cs="Arial"/>
        </w:rPr>
        <w:t>was</w:t>
      </w:r>
      <w:r w:rsidRPr="00EF4F4F">
        <w:rPr>
          <w:rFonts w:ascii="Calibri" w:hAnsi="Calibri" w:cs="Arial"/>
        </w:rPr>
        <w:t xml:space="preserve"> non-inferior </w:t>
      </w:r>
      <w:r>
        <w:rPr>
          <w:rFonts w:ascii="Calibri" w:hAnsi="Calibri" w:cs="Arial"/>
        </w:rPr>
        <w:t>to</w:t>
      </w:r>
      <w:r w:rsidRPr="00EF4F4F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>Cypher</w:t>
      </w:r>
      <w:r w:rsidRPr="00EF4F4F">
        <w:rPr>
          <w:rFonts w:ascii="Calibri" w:hAnsi="Calibri" w:cs="Arial"/>
        </w:rPr>
        <w:t xml:space="preserve"> stent. </w:t>
      </w:r>
      <w:r>
        <w:rPr>
          <w:rFonts w:ascii="Calibri" w:hAnsi="Calibri" w:cs="Arial"/>
        </w:rPr>
        <w:t>A</w:t>
      </w:r>
      <w:r w:rsidRPr="00EF4F4F">
        <w:rPr>
          <w:rFonts w:ascii="Calibri" w:hAnsi="Calibri" w:cs="Arial"/>
        </w:rPr>
        <w:t xml:space="preserve"> favorable trend towards the Biosensors stent was non-significant at the nine months follow-up </w:t>
      </w:r>
      <w:r>
        <w:rPr>
          <w:rFonts w:ascii="Calibri" w:hAnsi="Calibri" w:cs="Arial"/>
        </w:rPr>
        <w:t>end</w:t>
      </w:r>
      <w:r w:rsidRPr="00EF4F4F">
        <w:rPr>
          <w:rFonts w:ascii="Calibri" w:hAnsi="Calibri" w:cs="Arial"/>
        </w:rPr>
        <w:t>point. As anticipated, clinical event rates were higher in LEADERS compared with previous DES trials performed in patients with only on-label indications</w:t>
      </w:r>
      <w:r>
        <w:rPr>
          <w:rFonts w:ascii="Calibri" w:hAnsi="Calibri" w:cs="Arial"/>
        </w:rPr>
        <w:t>, because</w:t>
      </w:r>
      <w:r w:rsidRPr="00EF4F4F">
        <w:rPr>
          <w:rFonts w:ascii="Calibri" w:hAnsi="Calibri" w:cs="Arial"/>
        </w:rPr>
        <w:t xml:space="preserve"> the </w:t>
      </w:r>
      <w:r>
        <w:rPr>
          <w:rFonts w:ascii="Calibri" w:hAnsi="Calibri" w:cs="Arial"/>
        </w:rPr>
        <w:t xml:space="preserve">LEADERS </w:t>
      </w:r>
      <w:r w:rsidRPr="00EF4F4F">
        <w:rPr>
          <w:rFonts w:ascii="Calibri" w:hAnsi="Calibri" w:cs="Arial"/>
        </w:rPr>
        <w:t>trial design permitt</w:t>
      </w:r>
      <w:r>
        <w:rPr>
          <w:rFonts w:ascii="Calibri" w:hAnsi="Calibri" w:cs="Arial"/>
        </w:rPr>
        <w:t>ed</w:t>
      </w:r>
      <w:r w:rsidRPr="00EF4F4F">
        <w:rPr>
          <w:rFonts w:ascii="Calibri" w:hAnsi="Calibri" w:cs="Arial"/>
        </w:rPr>
        <w:t xml:space="preserve"> inclusion of any patient eligible for PCI</w:t>
      </w:r>
      <w:r>
        <w:rPr>
          <w:rFonts w:ascii="Calibri" w:hAnsi="Calibri" w:cs="Arial"/>
        </w:rPr>
        <w:t>.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As a result, r</w:t>
      </w:r>
      <w:r w:rsidRPr="00EF4F4F">
        <w:rPr>
          <w:rFonts w:ascii="Calibri" w:hAnsi="Calibri" w:cs="Arial"/>
        </w:rPr>
        <w:t xml:space="preserve">ates of death, myocardial infarction and stent thrombosis were similar for both stent types, </w:t>
      </w:r>
      <w:r>
        <w:rPr>
          <w:rFonts w:ascii="Calibri" w:hAnsi="Calibri" w:cs="Arial"/>
        </w:rPr>
        <w:t>but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were 2.6% </w:t>
      </w:r>
      <w:r w:rsidRPr="00EF4F4F">
        <w:rPr>
          <w:rFonts w:ascii="Calibri" w:hAnsi="Calibri" w:cs="Arial"/>
        </w:rPr>
        <w:t xml:space="preserve">  higher </w:t>
      </w:r>
      <w:r>
        <w:rPr>
          <w:rFonts w:ascii="Calibri" w:hAnsi="Calibri" w:cs="Arial"/>
        </w:rPr>
        <w:t xml:space="preserve">when </w:t>
      </w:r>
      <w:r w:rsidRPr="00EF4F4F">
        <w:rPr>
          <w:rFonts w:ascii="Calibri" w:hAnsi="Calibri" w:cs="Arial"/>
        </w:rPr>
        <w:t>compared to the earlier, less inclusive trials</w:t>
      </w:r>
      <w:r>
        <w:rPr>
          <w:rFonts w:ascii="Calibri" w:hAnsi="Calibri" w:cs="Arial"/>
        </w:rPr>
        <w:t>.</w:t>
      </w:r>
    </w:p>
    <w:p w:rsidR="00890A08" w:rsidRPr="00FB2502" w:rsidRDefault="00890A08" w:rsidP="00890A08">
      <w:pPr>
        <w:spacing w:after="120"/>
        <w:ind w:right="29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>In the a</w:t>
      </w:r>
      <w:r>
        <w:rPr>
          <w:rFonts w:ascii="Calibri" w:hAnsi="Calibri" w:cs="Arial"/>
        </w:rPr>
        <w:t>ngiographic sub-group, there were</w:t>
      </w:r>
      <w:r w:rsidRPr="00EF4F4F">
        <w:rPr>
          <w:rFonts w:ascii="Calibri" w:hAnsi="Calibri" w:cs="Arial"/>
        </w:rPr>
        <w:t xml:space="preserve"> no significant difference</w:t>
      </w:r>
      <w:r>
        <w:rPr>
          <w:rFonts w:ascii="Calibri" w:hAnsi="Calibri" w:cs="Arial"/>
        </w:rPr>
        <w:t>s at 9 months</w:t>
      </w:r>
      <w:r w:rsidRPr="00EF4F4F">
        <w:rPr>
          <w:rFonts w:ascii="Calibri" w:hAnsi="Calibri" w:cs="Arial"/>
        </w:rPr>
        <w:t xml:space="preserve"> between the in-stent percent diameter stenosis </w:t>
      </w:r>
      <w:r>
        <w:rPr>
          <w:rFonts w:ascii="Calibri" w:hAnsi="Calibri" w:cs="Arial"/>
        </w:rPr>
        <w:t>observed</w:t>
      </w:r>
      <w:r w:rsidRPr="00EF4F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in</w:t>
      </w:r>
      <w:r w:rsidRPr="00EF4F4F">
        <w:rPr>
          <w:rFonts w:ascii="Calibri" w:hAnsi="Calibri" w:cs="Arial"/>
        </w:rPr>
        <w:t xml:space="preserve"> the two patient groups</w:t>
      </w:r>
      <w:r>
        <w:rPr>
          <w:rFonts w:ascii="Calibri" w:hAnsi="Calibri" w:cs="Arial"/>
        </w:rPr>
        <w:t xml:space="preserve">, but </w:t>
      </w:r>
      <w:r w:rsidRPr="00EF4F4F">
        <w:rPr>
          <w:rFonts w:ascii="Calibri" w:hAnsi="Calibri" w:cs="Arial"/>
        </w:rPr>
        <w:t>there was a non-significant trend favoring the Biosensors stent.</w:t>
      </w:r>
    </w:p>
    <w:p w:rsidR="00890A08" w:rsidRPr="00EF4F4F" w:rsidRDefault="00890A08" w:rsidP="00890A08">
      <w:pPr>
        <w:pStyle w:val="BodyText"/>
        <w:keepLines/>
        <w:spacing w:line="240" w:lineRule="auto"/>
        <w:rPr>
          <w:rFonts w:ascii="Calibri" w:hAnsi="Calibri" w:cs="Arial"/>
          <w:bCs/>
        </w:rPr>
      </w:pPr>
      <w:r w:rsidRPr="00EF4F4F" w:rsidDel="00EF4F4F">
        <w:rPr>
          <w:rFonts w:ascii="Calibri" w:hAnsi="Calibri" w:cs="Arial"/>
          <w:b/>
        </w:rPr>
        <w:t xml:space="preserve"> </w:t>
      </w:r>
      <w:r w:rsidRPr="00EF4F4F">
        <w:rPr>
          <w:rFonts w:ascii="Calibri" w:hAnsi="Calibri" w:cs="Arial"/>
          <w:bCs/>
        </w:rPr>
        <w:t xml:space="preserve">“The results from LEADERS are very significant as they demonstrate for the first time that a </w:t>
      </w:r>
      <w:r>
        <w:rPr>
          <w:rFonts w:ascii="Calibri" w:hAnsi="Calibri" w:cs="Arial"/>
          <w:bCs/>
        </w:rPr>
        <w:t>drug-eluting stent</w:t>
      </w:r>
      <w:r w:rsidRPr="00EF4F4F">
        <w:rPr>
          <w:rFonts w:ascii="Calibri" w:hAnsi="Calibri" w:cs="Arial"/>
          <w:bCs/>
        </w:rPr>
        <w:t xml:space="preserve"> with </w:t>
      </w:r>
      <w:r>
        <w:rPr>
          <w:rFonts w:ascii="Calibri" w:hAnsi="Calibri" w:cs="Arial"/>
          <w:bCs/>
        </w:rPr>
        <w:t xml:space="preserve">an </w:t>
      </w:r>
      <w:r w:rsidRPr="00EF4F4F">
        <w:rPr>
          <w:rFonts w:ascii="Calibri" w:hAnsi="Calibri" w:cs="Arial"/>
          <w:bCs/>
        </w:rPr>
        <w:t>abluminal biodegradable polymer is as safe and effec</w:t>
      </w:r>
      <w:r>
        <w:rPr>
          <w:rFonts w:ascii="Calibri" w:hAnsi="Calibri" w:cs="Arial"/>
          <w:bCs/>
        </w:rPr>
        <w:t xml:space="preserve">tive at nine months as </w:t>
      </w:r>
      <w:r w:rsidRPr="00EF4F4F">
        <w:rPr>
          <w:rFonts w:ascii="Calibri" w:hAnsi="Calibri" w:cs="Arial"/>
          <w:bCs/>
        </w:rPr>
        <w:t xml:space="preserve">a conventional </w:t>
      </w:r>
      <w:r>
        <w:rPr>
          <w:rFonts w:ascii="Calibri" w:hAnsi="Calibri" w:cs="Arial"/>
          <w:bCs/>
        </w:rPr>
        <w:t>drug-eluting stent</w:t>
      </w:r>
      <w:r w:rsidRPr="00EF4F4F">
        <w:rPr>
          <w:rFonts w:ascii="Calibri" w:hAnsi="Calibri" w:cs="Arial"/>
          <w:bCs/>
        </w:rPr>
        <w:t xml:space="preserve"> with </w:t>
      </w:r>
      <w:r>
        <w:rPr>
          <w:rFonts w:ascii="Calibri" w:hAnsi="Calibri" w:cs="Arial"/>
          <w:bCs/>
        </w:rPr>
        <w:t xml:space="preserve">a </w:t>
      </w:r>
      <w:r w:rsidRPr="00EF4F4F">
        <w:rPr>
          <w:rFonts w:ascii="Calibri" w:hAnsi="Calibri" w:cs="Arial"/>
          <w:bCs/>
        </w:rPr>
        <w:t>durable polymer</w:t>
      </w:r>
      <w:r>
        <w:rPr>
          <w:rFonts w:ascii="Calibri" w:hAnsi="Calibri" w:cs="Arial"/>
          <w:bCs/>
        </w:rPr>
        <w:t>,</w:t>
      </w:r>
      <w:r w:rsidRPr="00EF4F4F">
        <w:rPr>
          <w:rFonts w:ascii="Calibri" w:hAnsi="Calibri" w:cs="Arial"/>
          <w:bCs/>
        </w:rPr>
        <w:t xml:space="preserve"> considered to be the most effective, under conditions which resemble those of routine clinical practice”, commented LEADERS Principal Investigator Professor Stephan Windecker, University Hospital, Bern, Switzerland. “Longer-term follow-up</w:t>
      </w:r>
      <w:r>
        <w:rPr>
          <w:rFonts w:ascii="Calibri" w:hAnsi="Calibri" w:cs="Arial"/>
          <w:bCs/>
        </w:rPr>
        <w:t xml:space="preserve"> of the patients in LEADERS or</w:t>
      </w:r>
      <w:r w:rsidRPr="00EF4F4F">
        <w:rPr>
          <w:rFonts w:ascii="Calibri" w:hAnsi="Calibri" w:cs="Arial"/>
          <w:bCs/>
        </w:rPr>
        <w:t xml:space="preserve"> studies of a similar nature are now </w:t>
      </w:r>
      <w:r>
        <w:rPr>
          <w:rFonts w:ascii="Calibri" w:hAnsi="Calibri" w:cs="Arial"/>
          <w:bCs/>
        </w:rPr>
        <w:t>needed</w:t>
      </w:r>
      <w:r w:rsidRPr="00EF4F4F">
        <w:rPr>
          <w:rFonts w:ascii="Calibri" w:hAnsi="Calibri" w:cs="Arial"/>
          <w:bCs/>
        </w:rPr>
        <w:t xml:space="preserve"> to confirm the theoretical </w:t>
      </w:r>
      <w:r>
        <w:rPr>
          <w:rFonts w:ascii="Calibri" w:hAnsi="Calibri" w:cs="Arial"/>
          <w:bCs/>
        </w:rPr>
        <w:t>advantage</w:t>
      </w:r>
      <w:r w:rsidRPr="00EF4F4F">
        <w:rPr>
          <w:rFonts w:ascii="Calibri" w:hAnsi="Calibri" w:cs="Arial"/>
          <w:bCs/>
        </w:rPr>
        <w:t xml:space="preserve"> of the abluminal biodegradable polymer in terms of reduced risk of late </w:t>
      </w:r>
      <w:r>
        <w:rPr>
          <w:rFonts w:ascii="Calibri" w:hAnsi="Calibri" w:cs="Arial"/>
          <w:bCs/>
        </w:rPr>
        <w:t>thrombosis.”</w:t>
      </w:r>
    </w:p>
    <w:p w:rsidR="00890A08" w:rsidRPr="00EF4F4F" w:rsidRDefault="00890A08" w:rsidP="00890A08">
      <w:pPr>
        <w:pStyle w:val="BodyText"/>
        <w:keepLines/>
        <w:spacing w:line="240" w:lineRule="auto"/>
        <w:rPr>
          <w:rFonts w:ascii="Calibri" w:hAnsi="Calibri" w:cs="Arial"/>
          <w:bCs/>
        </w:rPr>
      </w:pPr>
    </w:p>
    <w:p w:rsidR="00890A08" w:rsidRPr="00EF4F4F" w:rsidRDefault="00890A08" w:rsidP="00890A08">
      <w:pPr>
        <w:pStyle w:val="BodyText"/>
        <w:keepLines/>
        <w:spacing w:line="240" w:lineRule="auto"/>
        <w:rPr>
          <w:rFonts w:ascii="Calibri" w:hAnsi="Calibri" w:cs="Arial"/>
          <w:bCs/>
        </w:rPr>
      </w:pPr>
      <w:smartTag w:uri="urn:schemas-microsoft-com:office:smarttags" w:element="PersonName">
        <w:r>
          <w:rPr>
            <w:rFonts w:ascii="Calibri" w:hAnsi="Calibri" w:cs="Arial"/>
            <w:bCs/>
          </w:rPr>
          <w:t>Mike Kleine</w:t>
        </w:r>
      </w:smartTag>
      <w:r>
        <w:rPr>
          <w:rFonts w:ascii="Calibri" w:hAnsi="Calibri" w:cs="Arial"/>
          <w:bCs/>
        </w:rPr>
        <w:t xml:space="preserve">, President &amp; CEO of </w:t>
      </w:r>
      <w:r w:rsidRPr="00EF4F4F">
        <w:rPr>
          <w:rFonts w:ascii="Calibri" w:hAnsi="Calibri" w:cs="Arial"/>
          <w:bCs/>
        </w:rPr>
        <w:t xml:space="preserve">Biosensors added, “We are tremendously encouraged by the results of LEADERS, believing this to be just the first in a series of studies which will ultimately confirm our </w:t>
      </w:r>
      <w:r>
        <w:rPr>
          <w:rFonts w:ascii="Calibri" w:hAnsi="Calibri" w:cs="Arial"/>
          <w:bCs/>
        </w:rPr>
        <w:t>drug-eluting stent technology</w:t>
      </w:r>
      <w:r w:rsidRPr="00EF4F4F">
        <w:rPr>
          <w:rFonts w:ascii="Calibri" w:hAnsi="Calibri" w:cs="Arial"/>
          <w:bCs/>
        </w:rPr>
        <w:t>, with its unique combination of anti-restenotic drug and abluminal biodegradable polymer, as the new industry standard</w:t>
      </w:r>
      <w:r>
        <w:rPr>
          <w:rFonts w:ascii="Calibri" w:hAnsi="Calibri" w:cs="Arial"/>
          <w:bCs/>
        </w:rPr>
        <w:t>.”</w:t>
      </w:r>
    </w:p>
    <w:p w:rsidR="00890A08" w:rsidRDefault="00890A08" w:rsidP="00890A08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:rsidR="00890A08" w:rsidRPr="00A41605" w:rsidRDefault="00890A08" w:rsidP="00890A08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EF4F4F">
        <w:rPr>
          <w:rFonts w:ascii="Calibri" w:hAnsi="Calibri" w:cs="Arial"/>
        </w:rPr>
        <w:t xml:space="preserve">Although funded by Biosensors, LEADERS was independently developed, implemented and analyzed by the study investigators. Moreover, data management and analysis were performed by an independent academic </w:t>
      </w:r>
      <w:r>
        <w:rPr>
          <w:rFonts w:ascii="Calibri" w:hAnsi="Calibri" w:cs="Arial"/>
        </w:rPr>
        <w:t>institution.</w:t>
      </w:r>
    </w:p>
    <w:p w:rsidR="00890A08" w:rsidRDefault="00890A08" w:rsidP="00890A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A08" w:rsidRPr="0064487C" w:rsidRDefault="00890A08" w:rsidP="00890A08">
      <w:pPr>
        <w:jc w:val="both"/>
        <w:rPr>
          <w:rFonts w:ascii="Calibri" w:hAnsi="Calibri" w:cs="Arial"/>
          <w:color w:val="000000"/>
        </w:rPr>
      </w:pPr>
      <w:r w:rsidRPr="0064487C">
        <w:rPr>
          <w:rFonts w:ascii="Calibri" w:hAnsi="Calibri" w:cs="Arial"/>
          <w:color w:val="000000"/>
        </w:rPr>
        <w:t xml:space="preserve">Biosensors develops, manufactures and markets innovative medical devices used in interventional cardiology and critical care procedures. Biosensors has developed a pipeline of next-generation products that are set to gain market share from traditional therapies such as conventional DES, bare-metal stents and open-heart surgery. It has three separate drug-eluting stent programs, </w:t>
      </w:r>
      <w:r w:rsidRPr="0064487C">
        <w:rPr>
          <w:rFonts w:ascii="Calibri" w:hAnsi="Calibri" w:cs="Arial"/>
          <w:i/>
          <w:iCs/>
          <w:color w:val="000000"/>
        </w:rPr>
        <w:t>BioMatrix</w:t>
      </w:r>
      <w:r w:rsidRPr="0064487C">
        <w:rPr>
          <w:rFonts w:ascii="Calibri" w:hAnsi="Calibri" w:cs="Arial"/>
          <w:i/>
          <w:iCs/>
          <w:color w:val="000000"/>
          <w:vertAlign w:val="superscript"/>
        </w:rPr>
        <w:t>™</w:t>
      </w:r>
      <w:r w:rsidRPr="0064487C">
        <w:rPr>
          <w:rFonts w:ascii="Calibri" w:hAnsi="Calibri" w:cs="Arial"/>
          <w:i/>
          <w:iCs/>
          <w:color w:val="000000"/>
        </w:rPr>
        <w:t>, Axxion</w:t>
      </w:r>
      <w:r w:rsidRPr="0064487C">
        <w:rPr>
          <w:rFonts w:ascii="Calibri" w:hAnsi="Calibri" w:cs="Arial"/>
          <w:i/>
          <w:iCs/>
          <w:color w:val="000000"/>
          <w:vertAlign w:val="superscript"/>
        </w:rPr>
        <w:t>™</w:t>
      </w:r>
      <w:r w:rsidRPr="0064487C">
        <w:rPr>
          <w:rFonts w:ascii="Calibri" w:hAnsi="Calibri" w:cs="Arial"/>
          <w:color w:val="000000"/>
        </w:rPr>
        <w:t xml:space="preserve">, and </w:t>
      </w:r>
      <w:r w:rsidRPr="0064487C">
        <w:rPr>
          <w:rFonts w:ascii="Calibri" w:hAnsi="Calibri" w:cs="Arial"/>
          <w:i/>
          <w:color w:val="000000"/>
        </w:rPr>
        <w:t>BioFreedom</w:t>
      </w:r>
      <w:r w:rsidRPr="0064487C">
        <w:rPr>
          <w:rFonts w:ascii="Calibri" w:hAnsi="Calibri" w:cs="Arial"/>
          <w:color w:val="000000"/>
          <w:vertAlign w:val="superscript"/>
        </w:rPr>
        <w:t>™</w:t>
      </w:r>
      <w:r w:rsidRPr="0064487C">
        <w:rPr>
          <w:rFonts w:ascii="Calibri" w:hAnsi="Calibri" w:cs="Arial"/>
          <w:color w:val="000000"/>
        </w:rPr>
        <w:t>, a completely polymer-free drug-eluting stent.</w:t>
      </w:r>
    </w:p>
    <w:p w:rsidR="00890A08" w:rsidRPr="0064487C" w:rsidRDefault="00890A08" w:rsidP="00890A08">
      <w:pPr>
        <w:jc w:val="both"/>
        <w:rPr>
          <w:rFonts w:ascii="Calibri" w:hAnsi="Calibri" w:cs="Arial"/>
          <w:color w:val="000000"/>
        </w:rPr>
      </w:pPr>
    </w:p>
    <w:p w:rsidR="00890A08" w:rsidRPr="0064487C" w:rsidRDefault="00890A08" w:rsidP="00890A08">
      <w:pPr>
        <w:spacing w:after="120"/>
        <w:jc w:val="both"/>
        <w:rPr>
          <w:rFonts w:ascii="Calibri" w:hAnsi="Calibri" w:cs="Arial"/>
        </w:rPr>
      </w:pPr>
      <w:r w:rsidRPr="0064487C">
        <w:rPr>
          <w:rFonts w:ascii="Calibri" w:hAnsi="Calibri" w:cs="Arial"/>
        </w:rPr>
        <w:t xml:space="preserve">For further information about Biosensors, please visit: </w:t>
      </w:r>
      <w:hyperlink r:id="rId7" w:history="1">
        <w:r w:rsidRPr="0064487C">
          <w:rPr>
            <w:rStyle w:val="Hyperlink"/>
            <w:rFonts w:ascii="Calibri" w:hAnsi="Calibri" w:cs="Arial"/>
          </w:rPr>
          <w:t>www.biosensors.com</w:t>
        </w:r>
      </w:hyperlink>
    </w:p>
    <w:p w:rsidR="00890A08" w:rsidRDefault="00890A08" w:rsidP="00890A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90A08" w:rsidRDefault="00890A08" w:rsidP="00890A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</w:p>
    <w:p w:rsidR="00890A08" w:rsidRDefault="00890A08" w:rsidP="00890A08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-Ends-</w:t>
      </w: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  <w:r>
        <w:rPr>
          <w:rStyle w:val="bodytext1"/>
          <w:rFonts w:ascii="Arial" w:hAnsi="Arial"/>
          <w:sz w:val="22"/>
          <w:szCs w:val="22"/>
        </w:rPr>
        <w:t>For further information, or to arrange interviews, please contact on-site:</w:t>
      </w: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  <w:r>
        <w:rPr>
          <w:rStyle w:val="bodytext1"/>
          <w:rFonts w:ascii="Arial" w:hAnsi="Arial"/>
          <w:sz w:val="22"/>
          <w:szCs w:val="22"/>
        </w:rPr>
        <w:t xml:space="preserve">Richard Kenyon </w:t>
      </w:r>
      <w:hyperlink r:id="rId8" w:history="1">
        <w:r w:rsidRPr="00EA2499">
          <w:rPr>
            <w:rStyle w:val="Hyperlink"/>
            <w:rFonts w:ascii="Arial" w:hAnsi="Arial" w:cs="Arial"/>
            <w:sz w:val="22"/>
            <w:szCs w:val="22"/>
          </w:rPr>
          <w:t>richard@rkpr.co.uk</w:t>
        </w:r>
      </w:hyperlink>
      <w:r>
        <w:rPr>
          <w:rStyle w:val="bodytext1"/>
          <w:rFonts w:ascii="Arial" w:hAnsi="Arial"/>
          <w:sz w:val="22"/>
          <w:szCs w:val="22"/>
        </w:rPr>
        <w:t xml:space="preserve">  +44 7831 569940</w:t>
      </w: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  <w:r>
        <w:rPr>
          <w:rStyle w:val="bodytext1"/>
          <w:rFonts w:ascii="Arial" w:hAnsi="Arial"/>
          <w:sz w:val="22"/>
          <w:szCs w:val="22"/>
        </w:rPr>
        <w:t xml:space="preserve">Alexander Watson </w:t>
      </w:r>
      <w:hyperlink r:id="rId9" w:history="1">
        <w:r w:rsidRPr="00EA2499">
          <w:rPr>
            <w:rStyle w:val="Hyperlink"/>
            <w:rFonts w:ascii="Arial" w:hAnsi="Arial" w:cs="Arial"/>
            <w:sz w:val="22"/>
            <w:szCs w:val="22"/>
          </w:rPr>
          <w:t>alexander.watson@ketchum.com</w:t>
        </w:r>
      </w:hyperlink>
      <w:r>
        <w:rPr>
          <w:rStyle w:val="bodytext1"/>
          <w:rFonts w:ascii="Arial" w:hAnsi="Arial"/>
          <w:sz w:val="22"/>
          <w:szCs w:val="22"/>
        </w:rPr>
        <w:t xml:space="preserve">  +44 7712 675990</w:t>
      </w:r>
    </w:p>
    <w:p w:rsidR="00890A08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</w:p>
    <w:p w:rsidR="00890A08" w:rsidRPr="002103E7" w:rsidRDefault="00890A08" w:rsidP="00890A08">
      <w:pPr>
        <w:jc w:val="both"/>
        <w:rPr>
          <w:rStyle w:val="bodytext1"/>
          <w:rFonts w:ascii="Arial" w:hAnsi="Arial"/>
          <w:sz w:val="22"/>
          <w:szCs w:val="22"/>
        </w:rPr>
      </w:pPr>
      <w:r>
        <w:rPr>
          <w:rStyle w:val="bodytext1"/>
          <w:rFonts w:ascii="Arial" w:hAnsi="Arial"/>
          <w:sz w:val="22"/>
          <w:szCs w:val="22"/>
        </w:rPr>
        <w:t xml:space="preserve">Michelle Collias  </w:t>
      </w:r>
      <w:hyperlink r:id="rId10" w:history="1">
        <w:r w:rsidRPr="00EA2499">
          <w:rPr>
            <w:rStyle w:val="Hyperlink"/>
            <w:rFonts w:ascii="Arial" w:hAnsi="Arial" w:cs="Arial"/>
            <w:sz w:val="22"/>
            <w:szCs w:val="22"/>
          </w:rPr>
          <w:t>m.collias@biosensors.com</w:t>
        </w:r>
      </w:hyperlink>
      <w:r>
        <w:rPr>
          <w:rStyle w:val="bodytext1"/>
          <w:rFonts w:ascii="Arial" w:hAnsi="Arial"/>
          <w:sz w:val="22"/>
          <w:szCs w:val="22"/>
        </w:rPr>
        <w:t xml:space="preserve">  +41 798 204112</w:t>
      </w:r>
    </w:p>
    <w:p w:rsidR="00890A08" w:rsidRDefault="00890A08" w:rsidP="00890A0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90A08" w:rsidRPr="000F7C53" w:rsidRDefault="00890A08" w:rsidP="00890A08">
      <w:pPr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90A08" w:rsidRDefault="00890A08" w:rsidP="00890A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90A08" w:rsidRDefault="00890A08" w:rsidP="00890A08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890A08" w:rsidRDefault="00890A08" w:rsidP="00890A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90A08" w:rsidRDefault="00890A08" w:rsidP="00890A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90A08" w:rsidRDefault="00890A08" w:rsidP="00890A08">
      <w:pPr>
        <w:spacing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1264A" w:rsidRPr="00AE572B" w:rsidRDefault="0081264A" w:rsidP="00AE572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18"/>
          <w:szCs w:val="18"/>
        </w:rPr>
      </w:pPr>
    </w:p>
    <w:sectPr w:rsidR="0081264A" w:rsidRPr="00AE572B" w:rsidSect="0081264A">
      <w:headerReference w:type="default" r:id="rId11"/>
      <w:pgSz w:w="11909" w:h="16834" w:code="9"/>
      <w:pgMar w:top="1440" w:right="1109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AF1" w:rsidRDefault="00A71AF1">
      <w:r>
        <w:separator/>
      </w:r>
    </w:p>
  </w:endnote>
  <w:endnote w:type="continuationSeparator" w:id="1">
    <w:p w:rsidR="00A71AF1" w:rsidRDefault="00A71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AF1" w:rsidRDefault="00A71AF1">
      <w:r>
        <w:separator/>
      </w:r>
    </w:p>
  </w:footnote>
  <w:footnote w:type="continuationSeparator" w:id="1">
    <w:p w:rsidR="00A71AF1" w:rsidRDefault="00A71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E8" w:rsidRDefault="00AE572B" w:rsidP="004B6F1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1952625" cy="10668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50" t="22000" r="66875" b="59000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10E8" w:rsidRDefault="004B6F1C">
    <w:pPr>
      <w:pStyle w:val="Header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5B0B"/>
    <w:multiLevelType w:val="hybridMultilevel"/>
    <w:tmpl w:val="4E92B184"/>
    <w:lvl w:ilvl="0" w:tplc="80D2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FA16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4C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8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64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2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D3CAB"/>
    <w:multiLevelType w:val="hybridMultilevel"/>
    <w:tmpl w:val="7506F690"/>
    <w:lvl w:ilvl="0" w:tplc="B62C55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9A2C39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FC09A12">
      <w:start w:val="10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D4C6DEC">
      <w:start w:val="1089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1842B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5A49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A82E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59482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4CA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21B85258"/>
    <w:multiLevelType w:val="hybridMultilevel"/>
    <w:tmpl w:val="A54A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E7EEB"/>
    <w:multiLevelType w:val="hybridMultilevel"/>
    <w:tmpl w:val="80C2F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AD6CB9"/>
    <w:multiLevelType w:val="hybridMultilevel"/>
    <w:tmpl w:val="A9940C42"/>
    <w:lvl w:ilvl="0" w:tplc="8DD49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E23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CD37A">
      <w:start w:val="24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0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4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2E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6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A5165D"/>
    <w:multiLevelType w:val="hybridMultilevel"/>
    <w:tmpl w:val="667E9088"/>
    <w:lvl w:ilvl="0" w:tplc="30F46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F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E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EB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4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07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65D217D"/>
    <w:multiLevelType w:val="hybridMultilevel"/>
    <w:tmpl w:val="045C88AE"/>
    <w:lvl w:ilvl="0" w:tplc="0FE62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EB8AA">
      <w:start w:val="14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67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7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20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4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E1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2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5FD3"/>
    <w:rsid w:val="00030672"/>
    <w:rsid w:val="00167290"/>
    <w:rsid w:val="001B2ACB"/>
    <w:rsid w:val="00257FD1"/>
    <w:rsid w:val="00270B25"/>
    <w:rsid w:val="00297366"/>
    <w:rsid w:val="002D2687"/>
    <w:rsid w:val="003477A4"/>
    <w:rsid w:val="003B23B9"/>
    <w:rsid w:val="0042217A"/>
    <w:rsid w:val="00464079"/>
    <w:rsid w:val="004B6F1C"/>
    <w:rsid w:val="004D3791"/>
    <w:rsid w:val="00584CE3"/>
    <w:rsid w:val="005A3AEE"/>
    <w:rsid w:val="005C0152"/>
    <w:rsid w:val="007C1513"/>
    <w:rsid w:val="0081264A"/>
    <w:rsid w:val="0088651C"/>
    <w:rsid w:val="00890A08"/>
    <w:rsid w:val="0092259B"/>
    <w:rsid w:val="009918D8"/>
    <w:rsid w:val="009A752B"/>
    <w:rsid w:val="009C6BB0"/>
    <w:rsid w:val="00A63654"/>
    <w:rsid w:val="00A71AF1"/>
    <w:rsid w:val="00AA7582"/>
    <w:rsid w:val="00AC22C2"/>
    <w:rsid w:val="00AC297E"/>
    <w:rsid w:val="00AE572B"/>
    <w:rsid w:val="00BF5FD3"/>
    <w:rsid w:val="00C366F5"/>
    <w:rsid w:val="00CE4A67"/>
    <w:rsid w:val="00D92DCF"/>
    <w:rsid w:val="00DA11C2"/>
    <w:rsid w:val="00DA5452"/>
    <w:rsid w:val="00E910E8"/>
    <w:rsid w:val="00EB7540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2D2687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2D268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2D2687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2D2687"/>
    <w:rPr>
      <w:rFonts w:cs="Times New Roman"/>
    </w:rPr>
  </w:style>
  <w:style w:type="paragraph" w:styleId="CommentSubject">
    <w:name w:val="annotation subject"/>
    <w:basedOn w:val="CommentText"/>
    <w:next w:val="CommentText"/>
    <w:semiHidden/>
    <w:rsid w:val="002D2687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2D2687"/>
    <w:rPr>
      <w:b/>
      <w:bCs/>
    </w:rPr>
  </w:style>
  <w:style w:type="character" w:styleId="Hyperlink">
    <w:name w:val="Hyperlink"/>
    <w:basedOn w:val="DefaultParagraphFont"/>
    <w:rsid w:val="002D2687"/>
    <w:rPr>
      <w:rFonts w:cs="Times New Roman"/>
      <w:color w:val="0000FF"/>
      <w:u w:val="single"/>
    </w:rPr>
  </w:style>
  <w:style w:type="character" w:customStyle="1" w:styleId="bodytext1">
    <w:name w:val="bodytext1"/>
    <w:basedOn w:val="DefaultParagraphFont"/>
    <w:rsid w:val="002D2687"/>
    <w:rPr>
      <w:rFonts w:ascii="Verdana" w:hAnsi="Verdana" w:cs="Arial"/>
      <w:color w:val="000000"/>
      <w:sz w:val="18"/>
      <w:szCs w:val="18"/>
    </w:rPr>
  </w:style>
  <w:style w:type="paragraph" w:styleId="Header">
    <w:name w:val="head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Footer">
    <w:name w:val="footer"/>
    <w:basedOn w:val="Normal"/>
    <w:rsid w:val="002D2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BodyText">
    <w:name w:val="Body Text"/>
    <w:basedOn w:val="Normal"/>
    <w:rsid w:val="002D2687"/>
    <w:pPr>
      <w:spacing w:line="480" w:lineRule="auto"/>
      <w:jc w:val="both"/>
    </w:pPr>
    <w:rPr>
      <w:lang w:eastAsia="es-ES"/>
    </w:rPr>
  </w:style>
  <w:style w:type="character" w:customStyle="1" w:styleId="BodyTextChar">
    <w:name w:val="Body Text Char"/>
    <w:basedOn w:val="DefaultParagraphFont"/>
    <w:semiHidden/>
    <w:locked/>
    <w:rsid w:val="002D2687"/>
    <w:rPr>
      <w:rFonts w:cs="Times New Roman"/>
      <w:sz w:val="24"/>
      <w:szCs w:val="24"/>
    </w:rPr>
  </w:style>
  <w:style w:type="paragraph" w:styleId="Revision">
    <w:name w:val="Revision"/>
    <w:hidden/>
    <w:uiPriority w:val="99"/>
    <w:semiHidden/>
    <w:rsid w:val="00A97B27"/>
    <w:rPr>
      <w:sz w:val="24"/>
      <w:szCs w:val="24"/>
    </w:rPr>
  </w:style>
  <w:style w:type="paragraph" w:styleId="DocumentMap">
    <w:name w:val="Document Map"/>
    <w:basedOn w:val="Normal"/>
    <w:semiHidden/>
    <w:rsid w:val="001608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404CB"/>
    <w:pPr>
      <w:spacing w:before="100" w:beforeAutospacing="1" w:after="100" w:afterAutospacing="1"/>
    </w:pPr>
  </w:style>
  <w:style w:type="paragraph" w:customStyle="1" w:styleId="Default">
    <w:name w:val="Default"/>
    <w:rsid w:val="00D92DCF"/>
    <w:pPr>
      <w:autoSpaceDE w:val="0"/>
      <w:autoSpaceDN w:val="0"/>
      <w:adjustRightInd w:val="0"/>
    </w:pPr>
    <w:rPr>
      <w:rFonts w:ascii="Calibri" w:eastAsia="Batang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650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015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7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54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11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00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6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5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039">
          <w:marLeft w:val="99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rkpr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senso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.collias@biosenso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er.watson@ketchu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Biosensors Biofreedom Release</vt:lpstr>
    </vt:vector>
  </TitlesOfParts>
  <Company>Biosensors</Company>
  <LinksUpToDate>false</LinksUpToDate>
  <CharactersWithSpaces>5479</CharactersWithSpaces>
  <SharedDoc>false</SharedDoc>
  <HLinks>
    <vt:vector size="18" baseType="variant"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http://www.biosensors.com/</vt:lpwstr>
      </vt:variant>
      <vt:variant>
        <vt:lpwstr/>
      </vt:variant>
      <vt:variant>
        <vt:i4>4194349</vt:i4>
      </vt:variant>
      <vt:variant>
        <vt:i4>3</vt:i4>
      </vt:variant>
      <vt:variant>
        <vt:i4>0</vt:i4>
      </vt:variant>
      <vt:variant>
        <vt:i4>5</vt:i4>
      </vt:variant>
      <vt:variant>
        <vt:lpwstr>mailto:richard@rkpr.co.uk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mailto:s.meis@biosensors.com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Biosensors Biofreedom Release</dc:title>
  <dc:subject/>
  <dc:creator>Richard Kenyon</dc:creator>
  <cp:keywords/>
  <dc:description/>
  <cp:lastModifiedBy>Lydia Kenyon</cp:lastModifiedBy>
  <cp:revision>2</cp:revision>
  <cp:lastPrinted>2009-09-24T12:41:00Z</cp:lastPrinted>
  <dcterms:created xsi:type="dcterms:W3CDTF">2011-06-14T09:06:00Z</dcterms:created>
  <dcterms:modified xsi:type="dcterms:W3CDTF">2011-06-14T09:06:00Z</dcterms:modified>
</cp:coreProperties>
</file>